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2E3C" w:rsidRDefault="004B1C83">
      <w:pPr>
        <w:jc w:val="center"/>
        <w:rPr>
          <w:rFonts w:ascii="Times New Roman" w:hAnsi="Times New Roman" w:cs="Times New Roman"/>
        </w:rPr>
      </w:pPr>
      <w:r>
        <w:rPr>
          <w:rFonts w:ascii="Times New Roman" w:hAnsi="Times New Roman" w:cs="Times New Roman"/>
          <w:noProof/>
        </w:rPr>
        <w:drawing>
          <wp:inline distT="0" distB="0" distL="0" distR="0">
            <wp:extent cx="1371600" cy="1299845"/>
            <wp:effectExtent l="0" t="0" r="0" b="0"/>
            <wp:docPr id="1" name="Picture 1" descr="Slika na kojoj se prikazuje Font, rukopis, grafika, tipografi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ka na kojoj se prikazuje Font, rukopis, grafika, tipografija&#10;&#10;Sadržaj generiran umjetnom inteligencijom može biti netočan."/>
                    <pic:cNvPicPr>
                      <a:picLocks noChangeAspect="1"/>
                    </pic:cNvPicPr>
                  </pic:nvPicPr>
                  <pic:blipFill>
                    <a:blip r:embed="rId9"/>
                    <a:stretch>
                      <a:fillRect/>
                    </a:stretch>
                  </pic:blipFill>
                  <pic:spPr>
                    <a:xfrm>
                      <a:off x="0" y="0"/>
                      <a:ext cx="1371600" cy="1300095"/>
                    </a:xfrm>
                    <a:prstGeom prst="rect">
                      <a:avLst/>
                    </a:prstGeom>
                  </pic:spPr>
                </pic:pic>
              </a:graphicData>
            </a:graphic>
          </wp:inline>
        </w:drawing>
      </w:r>
    </w:p>
    <w:p w:rsidR="00702E3C" w:rsidRDefault="004B1C83">
      <w:pPr>
        <w:jc w:val="center"/>
        <w:rPr>
          <w:rFonts w:ascii="Times New Roman" w:hAnsi="Times New Roman" w:cs="Times New Roman"/>
        </w:rPr>
      </w:pPr>
      <w:r>
        <w:rPr>
          <w:rFonts w:ascii="Times New Roman" w:hAnsi="Times New Roman" w:cs="Times New Roman"/>
          <w:b/>
          <w:sz w:val="32"/>
        </w:rPr>
        <w:t>PLAN UPRAVLJANJA TURISTIČKOM DESTINACIJOM</w:t>
      </w:r>
      <w:r>
        <w:rPr>
          <w:rFonts w:ascii="Times New Roman" w:hAnsi="Times New Roman" w:cs="Times New Roman"/>
          <w:b/>
          <w:sz w:val="32"/>
        </w:rPr>
        <w:br/>
        <w:t>DUGI OTOK</w:t>
      </w:r>
    </w:p>
    <w:p w:rsidR="00702E3C" w:rsidRDefault="004B1C83">
      <w:pPr>
        <w:jc w:val="center"/>
        <w:rPr>
          <w:rFonts w:ascii="Times New Roman" w:hAnsi="Times New Roman" w:cs="Times New Roman"/>
        </w:rPr>
      </w:pPr>
      <w:r>
        <w:rPr>
          <w:rFonts w:ascii="Times New Roman" w:hAnsi="Times New Roman" w:cs="Times New Roman"/>
        </w:rPr>
        <w:br/>
        <w:t>Obuhvaća područje: Dugi otok, Zverinac, Lavdara</w:t>
      </w:r>
    </w:p>
    <w:p w:rsidR="00702E3C" w:rsidRDefault="004B1C83">
      <w:pPr>
        <w:jc w:val="center"/>
        <w:rPr>
          <w:rFonts w:ascii="Times New Roman" w:hAnsi="Times New Roman" w:cs="Times New Roman"/>
        </w:rPr>
      </w:pPr>
      <w:r>
        <w:rPr>
          <w:rFonts w:ascii="Times New Roman" w:hAnsi="Times New Roman" w:cs="Times New Roman"/>
        </w:rPr>
        <w:t>Naručitelj: Turistička zajednica Dugi otok</w:t>
      </w:r>
    </w:p>
    <w:p w:rsidR="00702E3C" w:rsidRDefault="004B1C83">
      <w:pPr>
        <w:jc w:val="center"/>
        <w:rPr>
          <w:rFonts w:ascii="Times New Roman" w:hAnsi="Times New Roman" w:cs="Times New Roman"/>
        </w:rPr>
      </w:pPr>
      <w:r>
        <w:rPr>
          <w:rFonts w:ascii="Times New Roman" w:hAnsi="Times New Roman" w:cs="Times New Roman"/>
        </w:rPr>
        <w:t>Razdoblje: 2025.–2029.</w:t>
      </w:r>
    </w:p>
    <w:p w:rsidR="00702E3C" w:rsidRDefault="004B1C83">
      <w:pPr>
        <w:jc w:val="center"/>
        <w:rPr>
          <w:rFonts w:ascii="Times New Roman" w:hAnsi="Times New Roman" w:cs="Times New Roman"/>
        </w:rPr>
      </w:pPr>
      <w:r>
        <w:rPr>
          <w:rFonts w:ascii="Times New Roman" w:hAnsi="Times New Roman" w:cs="Times New Roman"/>
        </w:rPr>
        <w:t>U skladu sa Zakonom o turizmu (NN 156/23) i Pravilnicima (NN 112/24)</w:t>
      </w:r>
    </w:p>
    <w:p w:rsidR="00702E3C" w:rsidRDefault="004B1C83">
      <w:pPr>
        <w:rPr>
          <w:rFonts w:ascii="Times New Roman" w:hAnsi="Times New Roman" w:cs="Times New Roman"/>
        </w:rPr>
      </w:pPr>
      <w:r>
        <w:rPr>
          <w:rFonts w:ascii="Times New Roman" w:hAnsi="Times New Roman" w:cs="Times New Roman"/>
        </w:rPr>
        <w:br/>
      </w:r>
      <w:r>
        <w:rPr>
          <w:rFonts w:ascii="Times New Roman" w:hAnsi="Times New Roman" w:cs="Times New Roman"/>
        </w:rPr>
        <w:br/>
      </w:r>
    </w:p>
    <w:p w:rsidR="00702E3C" w:rsidRDefault="004B1C83">
      <w:pPr>
        <w:jc w:val="center"/>
        <w:rPr>
          <w:rFonts w:ascii="Times New Roman" w:hAnsi="Times New Roman" w:cs="Times New Roman"/>
        </w:rPr>
      </w:pPr>
      <w:r>
        <w:rPr>
          <w:rFonts w:ascii="Times New Roman" w:hAnsi="Times New Roman" w:cs="Times New Roman"/>
        </w:rPr>
        <w:t>Izrada plana: Turistička zajednica Dugi otok</w:t>
      </w:r>
      <w:r>
        <w:rPr>
          <w:rFonts w:ascii="Times New Roman" w:hAnsi="Times New Roman" w:cs="Times New Roman"/>
        </w:rPr>
        <w:br/>
        <w:t>u suradnji s dionicima destinacije</w:t>
      </w:r>
    </w:p>
    <w:p w:rsidR="00702E3C" w:rsidRDefault="004B1C83">
      <w:pPr>
        <w:jc w:val="center"/>
        <w:rPr>
          <w:rFonts w:ascii="Times New Roman" w:hAnsi="Times New Roman" w:cs="Times New Roman"/>
        </w:rPr>
      </w:pPr>
      <w:r>
        <w:rPr>
          <w:rFonts w:ascii="Times New Roman" w:hAnsi="Times New Roman" w:cs="Times New Roman"/>
        </w:rPr>
        <w:br/>
        <w:t>Sali, kolovoz 2025.</w:t>
      </w: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sdt>
      <w:sdtPr>
        <w:rPr>
          <w:rFonts w:ascii="Times New Roman" w:eastAsiaTheme="minorHAnsi" w:hAnsi="Times New Roman" w:cs="Times New Roman"/>
          <w:color w:val="595959" w:themeColor="text1" w:themeTint="A6"/>
          <w:kern w:val="2"/>
          <w:sz w:val="20"/>
          <w:szCs w:val="20"/>
          <w:lang w:eastAsia="en-US"/>
          <w14:ligatures w14:val="standardContextual"/>
        </w:rPr>
        <w:id w:val="-547762740"/>
        <w:docPartObj>
          <w:docPartGallery w:val="Table of Contents"/>
          <w:docPartUnique/>
        </w:docPartObj>
      </w:sdtPr>
      <w:sdtEndPr>
        <w:rPr>
          <w:b/>
          <w:bCs/>
        </w:rPr>
      </w:sdtEndPr>
      <w:sdtContent>
        <w:p w:rsidR="00702E3C" w:rsidRPr="002D0BA4" w:rsidRDefault="004B1C83">
          <w:pPr>
            <w:pStyle w:val="TOCNaslov1"/>
            <w:spacing w:line="360" w:lineRule="auto"/>
            <w:jc w:val="center"/>
            <w:rPr>
              <w:rStyle w:val="Naslov1Char"/>
            </w:rPr>
          </w:pPr>
          <w:r w:rsidRPr="002D0BA4">
            <w:rPr>
              <w:rStyle w:val="Naslov1Char"/>
            </w:rPr>
            <w:t>Sadržaj</w:t>
          </w:r>
        </w:p>
        <w:p w:rsidR="00702E3C" w:rsidRDefault="00702E3C">
          <w:pPr>
            <w:spacing w:line="360" w:lineRule="auto"/>
            <w:rPr>
              <w:rFonts w:ascii="Times New Roman" w:hAnsi="Times New Roman" w:cs="Times New Roman"/>
              <w:color w:val="595959" w:themeColor="text1" w:themeTint="A6"/>
              <w:sz w:val="20"/>
              <w:szCs w:val="20"/>
              <w:lang w:eastAsia="hr-HR"/>
            </w:rPr>
          </w:pPr>
        </w:p>
        <w:p w:rsidR="002D0BA4" w:rsidRDefault="004B1C83">
          <w:pPr>
            <w:pStyle w:val="Sadraj1"/>
            <w:tabs>
              <w:tab w:val="left" w:pos="440"/>
              <w:tab w:val="right" w:leader="dot" w:pos="9062"/>
            </w:tabs>
            <w:rPr>
              <w:rFonts w:eastAsiaTheme="minorEastAsia"/>
              <w:noProof/>
              <w:sz w:val="24"/>
              <w:szCs w:val="24"/>
              <w:lang w:eastAsia="hr-HR"/>
            </w:rPr>
          </w:pPr>
          <w:r>
            <w:rPr>
              <w:rFonts w:ascii="Times New Roman" w:hAnsi="Times New Roman" w:cs="Times New Roman"/>
              <w:color w:val="595959" w:themeColor="text1" w:themeTint="A6"/>
              <w:sz w:val="20"/>
              <w:szCs w:val="20"/>
            </w:rPr>
            <w:fldChar w:fldCharType="begin"/>
          </w:r>
          <w:r>
            <w:rPr>
              <w:rFonts w:ascii="Times New Roman" w:hAnsi="Times New Roman" w:cs="Times New Roman"/>
              <w:color w:val="595959" w:themeColor="text1" w:themeTint="A6"/>
              <w:sz w:val="20"/>
              <w:szCs w:val="20"/>
            </w:rPr>
            <w:instrText xml:space="preserve"> TOC \o "1-3" \h \z \u </w:instrText>
          </w:r>
          <w:r>
            <w:rPr>
              <w:rFonts w:ascii="Times New Roman" w:hAnsi="Times New Roman" w:cs="Times New Roman"/>
              <w:color w:val="595959" w:themeColor="text1" w:themeTint="A6"/>
              <w:sz w:val="20"/>
              <w:szCs w:val="20"/>
            </w:rPr>
            <w:fldChar w:fldCharType="separate"/>
          </w:r>
          <w:hyperlink w:anchor="_Toc217040633" w:history="1">
            <w:r w:rsidR="002D0BA4" w:rsidRPr="00C504E7">
              <w:rPr>
                <w:rStyle w:val="Hiperveza"/>
                <w:rFonts w:ascii="Times New Roman" w:hAnsi="Times New Roman" w:cs="Times New Roman"/>
                <w:b/>
                <w:bCs/>
                <w:noProof/>
              </w:rPr>
              <w:t>1.</w:t>
            </w:r>
            <w:r w:rsidR="002D0BA4">
              <w:rPr>
                <w:rFonts w:eastAsiaTheme="minorEastAsia"/>
                <w:noProof/>
                <w:sz w:val="24"/>
                <w:szCs w:val="24"/>
                <w:lang w:eastAsia="hr-HR"/>
              </w:rPr>
              <w:tab/>
            </w:r>
            <w:r w:rsidR="002D0BA4" w:rsidRPr="00C504E7">
              <w:rPr>
                <w:rStyle w:val="Hiperveza"/>
                <w:rFonts w:ascii="Times New Roman" w:hAnsi="Times New Roman" w:cs="Times New Roman"/>
                <w:b/>
                <w:bCs/>
                <w:noProof/>
              </w:rPr>
              <w:t>UVOD</w:t>
            </w:r>
            <w:r w:rsidR="002D0BA4">
              <w:rPr>
                <w:noProof/>
                <w:webHidden/>
              </w:rPr>
              <w:tab/>
            </w:r>
            <w:r w:rsidR="002D0BA4">
              <w:rPr>
                <w:noProof/>
                <w:webHidden/>
              </w:rPr>
              <w:fldChar w:fldCharType="begin"/>
            </w:r>
            <w:r w:rsidR="002D0BA4">
              <w:rPr>
                <w:noProof/>
                <w:webHidden/>
              </w:rPr>
              <w:instrText xml:space="preserve"> PAGEREF _Toc217040633 \h </w:instrText>
            </w:r>
            <w:r w:rsidR="002D0BA4">
              <w:rPr>
                <w:noProof/>
                <w:webHidden/>
              </w:rPr>
            </w:r>
            <w:r w:rsidR="002D0BA4">
              <w:rPr>
                <w:noProof/>
                <w:webHidden/>
              </w:rPr>
              <w:fldChar w:fldCharType="separate"/>
            </w:r>
            <w:r w:rsidR="002D0BA4">
              <w:rPr>
                <w:noProof/>
                <w:webHidden/>
              </w:rPr>
              <w:t>6</w:t>
            </w:r>
            <w:r w:rsidR="002D0BA4">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34" w:history="1">
            <w:r w:rsidRPr="00C504E7">
              <w:rPr>
                <w:rStyle w:val="Hiperveza"/>
                <w:rFonts w:ascii="Times New Roman" w:hAnsi="Times New Roman" w:cs="Times New Roman"/>
                <w:noProof/>
              </w:rPr>
              <w:t>1.1.</w:t>
            </w:r>
            <w:r>
              <w:rPr>
                <w:rFonts w:eastAsiaTheme="minorEastAsia"/>
                <w:noProof/>
                <w:sz w:val="24"/>
                <w:szCs w:val="24"/>
                <w:lang w:eastAsia="hr-HR"/>
              </w:rPr>
              <w:tab/>
            </w:r>
            <w:r w:rsidRPr="00C504E7">
              <w:rPr>
                <w:rStyle w:val="Hiperveza"/>
                <w:rFonts w:ascii="Times New Roman" w:hAnsi="Times New Roman" w:cs="Times New Roman"/>
                <w:noProof/>
              </w:rPr>
              <w:t>Polazište i ciljevi Plana</w:t>
            </w:r>
            <w:r>
              <w:rPr>
                <w:noProof/>
                <w:webHidden/>
              </w:rPr>
              <w:tab/>
            </w:r>
            <w:r>
              <w:rPr>
                <w:noProof/>
                <w:webHidden/>
              </w:rPr>
              <w:fldChar w:fldCharType="begin"/>
            </w:r>
            <w:r>
              <w:rPr>
                <w:noProof/>
                <w:webHidden/>
              </w:rPr>
              <w:instrText xml:space="preserve"> PAGEREF _Toc217040634 \h </w:instrText>
            </w:r>
            <w:r>
              <w:rPr>
                <w:noProof/>
                <w:webHidden/>
              </w:rPr>
            </w:r>
            <w:r>
              <w:rPr>
                <w:noProof/>
                <w:webHidden/>
              </w:rPr>
              <w:fldChar w:fldCharType="separate"/>
            </w:r>
            <w:r>
              <w:rPr>
                <w:noProof/>
                <w:webHidden/>
              </w:rPr>
              <w:t>6</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35" w:history="1">
            <w:r w:rsidRPr="00C504E7">
              <w:rPr>
                <w:rStyle w:val="Hiperveza"/>
                <w:rFonts w:ascii="Times New Roman" w:hAnsi="Times New Roman" w:cs="Times New Roman"/>
                <w:noProof/>
              </w:rPr>
              <w:t>1.2.</w:t>
            </w:r>
            <w:r>
              <w:rPr>
                <w:rFonts w:eastAsiaTheme="minorEastAsia"/>
                <w:noProof/>
                <w:sz w:val="24"/>
                <w:szCs w:val="24"/>
                <w:lang w:eastAsia="hr-HR"/>
              </w:rPr>
              <w:tab/>
            </w:r>
            <w:r w:rsidRPr="00C504E7">
              <w:rPr>
                <w:rStyle w:val="Hiperveza"/>
                <w:rFonts w:ascii="Times New Roman" w:hAnsi="Times New Roman" w:cs="Times New Roman"/>
                <w:noProof/>
              </w:rPr>
              <w:t>Metodologija rada</w:t>
            </w:r>
            <w:r>
              <w:rPr>
                <w:noProof/>
                <w:webHidden/>
              </w:rPr>
              <w:tab/>
            </w:r>
            <w:r>
              <w:rPr>
                <w:noProof/>
                <w:webHidden/>
              </w:rPr>
              <w:fldChar w:fldCharType="begin"/>
            </w:r>
            <w:r>
              <w:rPr>
                <w:noProof/>
                <w:webHidden/>
              </w:rPr>
              <w:instrText xml:space="preserve"> PAGEREF _Toc217040635 \h </w:instrText>
            </w:r>
            <w:r>
              <w:rPr>
                <w:noProof/>
                <w:webHidden/>
              </w:rPr>
            </w:r>
            <w:r>
              <w:rPr>
                <w:noProof/>
                <w:webHidden/>
              </w:rPr>
              <w:fldChar w:fldCharType="separate"/>
            </w:r>
            <w:r>
              <w:rPr>
                <w:noProof/>
                <w:webHidden/>
              </w:rPr>
              <w:t>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36" w:history="1">
            <w:r w:rsidRPr="00C504E7">
              <w:rPr>
                <w:rStyle w:val="Hiperveza"/>
                <w:rFonts w:ascii="Times New Roman" w:hAnsi="Times New Roman" w:cs="Times New Roman"/>
                <w:noProof/>
              </w:rPr>
              <w:t>1.3.</w:t>
            </w:r>
            <w:r>
              <w:rPr>
                <w:rFonts w:eastAsiaTheme="minorEastAsia"/>
                <w:noProof/>
                <w:sz w:val="24"/>
                <w:szCs w:val="24"/>
                <w:lang w:eastAsia="hr-HR"/>
              </w:rPr>
              <w:tab/>
            </w:r>
            <w:r w:rsidRPr="00C504E7">
              <w:rPr>
                <w:rStyle w:val="Hiperveza"/>
                <w:rFonts w:ascii="Times New Roman" w:hAnsi="Times New Roman" w:cs="Times New Roman"/>
                <w:noProof/>
              </w:rPr>
              <w:t>Ključni dionici</w:t>
            </w:r>
            <w:r>
              <w:rPr>
                <w:noProof/>
                <w:webHidden/>
              </w:rPr>
              <w:tab/>
            </w:r>
            <w:r>
              <w:rPr>
                <w:noProof/>
                <w:webHidden/>
              </w:rPr>
              <w:fldChar w:fldCharType="begin"/>
            </w:r>
            <w:r>
              <w:rPr>
                <w:noProof/>
                <w:webHidden/>
              </w:rPr>
              <w:instrText xml:space="preserve"> PAGEREF _Toc217040636 \h </w:instrText>
            </w:r>
            <w:r>
              <w:rPr>
                <w:noProof/>
                <w:webHidden/>
              </w:rPr>
            </w:r>
            <w:r>
              <w:rPr>
                <w:noProof/>
                <w:webHidden/>
              </w:rPr>
              <w:fldChar w:fldCharType="separate"/>
            </w:r>
            <w:r>
              <w:rPr>
                <w:noProof/>
                <w:webHidden/>
              </w:rPr>
              <w:t>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37" w:history="1">
            <w:r w:rsidRPr="00C504E7">
              <w:rPr>
                <w:rStyle w:val="Hiperveza"/>
                <w:rFonts w:ascii="Times New Roman" w:hAnsi="Times New Roman" w:cs="Times New Roman"/>
                <w:noProof/>
              </w:rPr>
              <w:t>1.4.</w:t>
            </w:r>
            <w:r>
              <w:rPr>
                <w:rFonts w:eastAsiaTheme="minorEastAsia"/>
                <w:noProof/>
                <w:sz w:val="24"/>
                <w:szCs w:val="24"/>
                <w:lang w:eastAsia="hr-HR"/>
              </w:rPr>
              <w:tab/>
            </w:r>
            <w:r w:rsidRPr="00C504E7">
              <w:rPr>
                <w:rStyle w:val="Hiperveza"/>
                <w:rFonts w:ascii="Times New Roman" w:hAnsi="Times New Roman" w:cs="Times New Roman"/>
                <w:noProof/>
              </w:rPr>
              <w:t>Profil odredišta/baze osnovnih informacija o destinaciji</w:t>
            </w:r>
            <w:r>
              <w:rPr>
                <w:noProof/>
                <w:webHidden/>
              </w:rPr>
              <w:tab/>
            </w:r>
            <w:r>
              <w:rPr>
                <w:noProof/>
                <w:webHidden/>
              </w:rPr>
              <w:fldChar w:fldCharType="begin"/>
            </w:r>
            <w:r>
              <w:rPr>
                <w:noProof/>
                <w:webHidden/>
              </w:rPr>
              <w:instrText xml:space="preserve"> PAGEREF _Toc217040637 \h </w:instrText>
            </w:r>
            <w:r>
              <w:rPr>
                <w:noProof/>
                <w:webHidden/>
              </w:rPr>
            </w:r>
            <w:r>
              <w:rPr>
                <w:noProof/>
                <w:webHidden/>
              </w:rPr>
              <w:fldChar w:fldCharType="separate"/>
            </w:r>
            <w:r>
              <w:rPr>
                <w:noProof/>
                <w:webHidden/>
              </w:rPr>
              <w:t>11</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638" w:history="1">
            <w:r w:rsidRPr="00C504E7">
              <w:rPr>
                <w:rStyle w:val="Hiperveza"/>
                <w:rFonts w:ascii="Times New Roman" w:hAnsi="Times New Roman" w:cs="Times New Roman"/>
                <w:b/>
                <w:bCs/>
                <w:noProof/>
              </w:rPr>
              <w:t>2.</w:t>
            </w:r>
            <w:r>
              <w:rPr>
                <w:rFonts w:eastAsiaTheme="minorEastAsia"/>
                <w:noProof/>
                <w:sz w:val="24"/>
                <w:szCs w:val="24"/>
                <w:lang w:eastAsia="hr-HR"/>
              </w:rPr>
              <w:tab/>
            </w:r>
            <w:r w:rsidRPr="00C504E7">
              <w:rPr>
                <w:rStyle w:val="Hiperveza"/>
                <w:rFonts w:ascii="Times New Roman" w:hAnsi="Times New Roman" w:cs="Times New Roman"/>
                <w:b/>
                <w:bCs/>
                <w:noProof/>
              </w:rPr>
              <w:t>PRIHVATNI KAPACITET DESTINACIJE</w:t>
            </w:r>
            <w:r>
              <w:rPr>
                <w:noProof/>
                <w:webHidden/>
              </w:rPr>
              <w:tab/>
            </w:r>
            <w:r>
              <w:rPr>
                <w:noProof/>
                <w:webHidden/>
              </w:rPr>
              <w:fldChar w:fldCharType="begin"/>
            </w:r>
            <w:r>
              <w:rPr>
                <w:noProof/>
                <w:webHidden/>
              </w:rPr>
              <w:instrText xml:space="preserve"> PAGEREF _Toc217040638 \h </w:instrText>
            </w:r>
            <w:r>
              <w:rPr>
                <w:noProof/>
                <w:webHidden/>
              </w:rPr>
            </w:r>
            <w:r>
              <w:rPr>
                <w:noProof/>
                <w:webHidden/>
              </w:rPr>
              <w:fldChar w:fldCharType="separate"/>
            </w:r>
            <w:r>
              <w:rPr>
                <w:noProof/>
                <w:webHidden/>
              </w:rPr>
              <w:t>14</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639" w:history="1">
            <w:r w:rsidRPr="00C504E7">
              <w:rPr>
                <w:rStyle w:val="Hiperveza"/>
                <w:rFonts w:ascii="Times New Roman" w:hAnsi="Times New Roman" w:cs="Times New Roman"/>
                <w:b/>
                <w:bCs/>
                <w:noProof/>
              </w:rPr>
              <w:t>3.</w:t>
            </w:r>
            <w:r>
              <w:rPr>
                <w:rFonts w:eastAsiaTheme="minorEastAsia"/>
                <w:noProof/>
                <w:sz w:val="24"/>
                <w:szCs w:val="24"/>
                <w:lang w:eastAsia="hr-HR"/>
              </w:rPr>
              <w:tab/>
            </w:r>
            <w:r w:rsidRPr="00C504E7">
              <w:rPr>
                <w:rStyle w:val="Hiperveza"/>
                <w:rFonts w:ascii="Times New Roman" w:hAnsi="Times New Roman" w:cs="Times New Roman"/>
                <w:b/>
                <w:bCs/>
                <w:noProof/>
              </w:rPr>
              <w:t>ANALIZA STANJA DESTINACIJE</w:t>
            </w:r>
            <w:r>
              <w:rPr>
                <w:noProof/>
                <w:webHidden/>
              </w:rPr>
              <w:tab/>
            </w:r>
            <w:r>
              <w:rPr>
                <w:noProof/>
                <w:webHidden/>
              </w:rPr>
              <w:fldChar w:fldCharType="begin"/>
            </w:r>
            <w:r>
              <w:rPr>
                <w:noProof/>
                <w:webHidden/>
              </w:rPr>
              <w:instrText xml:space="preserve"> PAGEREF _Toc217040639 \h </w:instrText>
            </w:r>
            <w:r>
              <w:rPr>
                <w:noProof/>
                <w:webHidden/>
              </w:rPr>
            </w:r>
            <w:r>
              <w:rPr>
                <w:noProof/>
                <w:webHidden/>
              </w:rPr>
              <w:fldChar w:fldCharType="separate"/>
            </w:r>
            <w:r>
              <w:rPr>
                <w:noProof/>
                <w:webHidden/>
              </w:rPr>
              <w:t>16</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40" w:history="1">
            <w:r w:rsidRPr="00C504E7">
              <w:rPr>
                <w:rStyle w:val="Hiperveza"/>
                <w:rFonts w:ascii="Times New Roman" w:hAnsi="Times New Roman" w:cs="Times New Roman"/>
                <w:noProof/>
              </w:rPr>
              <w:t>3.1.</w:t>
            </w:r>
            <w:r>
              <w:rPr>
                <w:rFonts w:eastAsiaTheme="minorEastAsia"/>
                <w:noProof/>
                <w:sz w:val="24"/>
                <w:szCs w:val="24"/>
                <w:lang w:eastAsia="hr-HR"/>
              </w:rPr>
              <w:tab/>
            </w:r>
            <w:r w:rsidRPr="00C504E7">
              <w:rPr>
                <w:rStyle w:val="Hiperveza"/>
                <w:rFonts w:ascii="Times New Roman" w:hAnsi="Times New Roman" w:cs="Times New Roman"/>
                <w:noProof/>
              </w:rPr>
              <w:t>Resursna osnova</w:t>
            </w:r>
            <w:r>
              <w:rPr>
                <w:noProof/>
                <w:webHidden/>
              </w:rPr>
              <w:tab/>
            </w:r>
            <w:r>
              <w:rPr>
                <w:noProof/>
                <w:webHidden/>
              </w:rPr>
              <w:fldChar w:fldCharType="begin"/>
            </w:r>
            <w:r>
              <w:rPr>
                <w:noProof/>
                <w:webHidden/>
              </w:rPr>
              <w:instrText xml:space="preserve"> PAGEREF _Toc217040640 \h </w:instrText>
            </w:r>
            <w:r>
              <w:rPr>
                <w:noProof/>
                <w:webHidden/>
              </w:rPr>
            </w:r>
            <w:r>
              <w:rPr>
                <w:noProof/>
                <w:webHidden/>
              </w:rPr>
              <w:fldChar w:fldCharType="separate"/>
            </w:r>
            <w:r>
              <w:rPr>
                <w:noProof/>
                <w:webHidden/>
              </w:rPr>
              <w:t>16</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41" w:history="1">
            <w:r w:rsidRPr="00C504E7">
              <w:rPr>
                <w:rStyle w:val="Hiperveza"/>
                <w:rFonts w:ascii="Times New Roman" w:hAnsi="Times New Roman" w:cs="Times New Roman"/>
                <w:noProof/>
              </w:rPr>
              <w:t>3.1.1.</w:t>
            </w:r>
            <w:r>
              <w:rPr>
                <w:rFonts w:eastAsiaTheme="minorEastAsia"/>
                <w:noProof/>
                <w:sz w:val="24"/>
                <w:szCs w:val="24"/>
                <w:lang w:eastAsia="hr-HR"/>
              </w:rPr>
              <w:tab/>
            </w:r>
            <w:r w:rsidRPr="00C504E7">
              <w:rPr>
                <w:rStyle w:val="Hiperveza"/>
                <w:rFonts w:ascii="Times New Roman" w:hAnsi="Times New Roman" w:cs="Times New Roman"/>
                <w:noProof/>
              </w:rPr>
              <w:t>Geografska obilježja</w:t>
            </w:r>
            <w:r>
              <w:rPr>
                <w:noProof/>
                <w:webHidden/>
              </w:rPr>
              <w:tab/>
            </w:r>
            <w:r>
              <w:rPr>
                <w:noProof/>
                <w:webHidden/>
              </w:rPr>
              <w:fldChar w:fldCharType="begin"/>
            </w:r>
            <w:r>
              <w:rPr>
                <w:noProof/>
                <w:webHidden/>
              </w:rPr>
              <w:instrText xml:space="preserve"> PAGEREF _Toc217040641 \h </w:instrText>
            </w:r>
            <w:r>
              <w:rPr>
                <w:noProof/>
                <w:webHidden/>
              </w:rPr>
            </w:r>
            <w:r>
              <w:rPr>
                <w:noProof/>
                <w:webHidden/>
              </w:rPr>
              <w:fldChar w:fldCharType="separate"/>
            </w:r>
            <w:r>
              <w:rPr>
                <w:noProof/>
                <w:webHidden/>
              </w:rPr>
              <w:t>16</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42" w:history="1">
            <w:r w:rsidRPr="00C504E7">
              <w:rPr>
                <w:rStyle w:val="Hiperveza"/>
                <w:rFonts w:ascii="Times New Roman" w:hAnsi="Times New Roman" w:cs="Times New Roman"/>
                <w:noProof/>
              </w:rPr>
              <w:t>3.1.2.</w:t>
            </w:r>
            <w:r>
              <w:rPr>
                <w:rFonts w:eastAsiaTheme="minorEastAsia"/>
                <w:noProof/>
                <w:sz w:val="24"/>
                <w:szCs w:val="24"/>
                <w:lang w:eastAsia="hr-HR"/>
              </w:rPr>
              <w:tab/>
            </w:r>
            <w:r w:rsidRPr="00C504E7">
              <w:rPr>
                <w:rStyle w:val="Hiperveza"/>
                <w:rFonts w:ascii="Times New Roman" w:hAnsi="Times New Roman" w:cs="Times New Roman"/>
                <w:noProof/>
              </w:rPr>
              <w:t>Prirodna baština</w:t>
            </w:r>
            <w:r>
              <w:rPr>
                <w:noProof/>
                <w:webHidden/>
              </w:rPr>
              <w:tab/>
            </w:r>
            <w:r>
              <w:rPr>
                <w:noProof/>
                <w:webHidden/>
              </w:rPr>
              <w:fldChar w:fldCharType="begin"/>
            </w:r>
            <w:r>
              <w:rPr>
                <w:noProof/>
                <w:webHidden/>
              </w:rPr>
              <w:instrText xml:space="preserve"> PAGEREF _Toc217040642 \h </w:instrText>
            </w:r>
            <w:r>
              <w:rPr>
                <w:noProof/>
                <w:webHidden/>
              </w:rPr>
            </w:r>
            <w:r>
              <w:rPr>
                <w:noProof/>
                <w:webHidden/>
              </w:rPr>
              <w:fldChar w:fldCharType="separate"/>
            </w:r>
            <w:r>
              <w:rPr>
                <w:noProof/>
                <w:webHidden/>
              </w:rPr>
              <w:t>18</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43" w:history="1">
            <w:r w:rsidRPr="00C504E7">
              <w:rPr>
                <w:rStyle w:val="Hiperveza"/>
                <w:rFonts w:ascii="Times New Roman" w:hAnsi="Times New Roman" w:cs="Times New Roman"/>
                <w:noProof/>
              </w:rPr>
              <w:t>3.1.3.</w:t>
            </w:r>
            <w:r>
              <w:rPr>
                <w:rFonts w:eastAsiaTheme="minorEastAsia"/>
                <w:noProof/>
                <w:sz w:val="24"/>
                <w:szCs w:val="24"/>
                <w:lang w:eastAsia="hr-HR"/>
              </w:rPr>
              <w:tab/>
            </w:r>
            <w:r w:rsidRPr="00C504E7">
              <w:rPr>
                <w:rStyle w:val="Hiperveza"/>
                <w:rFonts w:ascii="Times New Roman" w:hAnsi="Times New Roman" w:cs="Times New Roman"/>
                <w:noProof/>
              </w:rPr>
              <w:t>Kulturna baština</w:t>
            </w:r>
            <w:r>
              <w:rPr>
                <w:noProof/>
                <w:webHidden/>
              </w:rPr>
              <w:tab/>
            </w:r>
            <w:r>
              <w:rPr>
                <w:noProof/>
                <w:webHidden/>
              </w:rPr>
              <w:fldChar w:fldCharType="begin"/>
            </w:r>
            <w:r>
              <w:rPr>
                <w:noProof/>
                <w:webHidden/>
              </w:rPr>
              <w:instrText xml:space="preserve"> PAGEREF _Toc217040643 \h </w:instrText>
            </w:r>
            <w:r>
              <w:rPr>
                <w:noProof/>
                <w:webHidden/>
              </w:rPr>
            </w:r>
            <w:r>
              <w:rPr>
                <w:noProof/>
                <w:webHidden/>
              </w:rPr>
              <w:fldChar w:fldCharType="separate"/>
            </w:r>
            <w:r>
              <w:rPr>
                <w:noProof/>
                <w:webHidden/>
              </w:rPr>
              <w:t>21</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44" w:history="1">
            <w:r w:rsidRPr="00C504E7">
              <w:rPr>
                <w:rStyle w:val="Hiperveza"/>
                <w:rFonts w:ascii="Times New Roman" w:hAnsi="Times New Roman" w:cs="Times New Roman"/>
                <w:noProof/>
              </w:rPr>
              <w:t>3.2.</w:t>
            </w:r>
            <w:r>
              <w:rPr>
                <w:rFonts w:eastAsiaTheme="minorEastAsia"/>
                <w:noProof/>
                <w:sz w:val="24"/>
                <w:szCs w:val="24"/>
                <w:lang w:eastAsia="hr-HR"/>
              </w:rPr>
              <w:tab/>
            </w:r>
            <w:r w:rsidRPr="00C504E7">
              <w:rPr>
                <w:rStyle w:val="Hiperveza"/>
                <w:rFonts w:ascii="Times New Roman" w:hAnsi="Times New Roman" w:cs="Times New Roman"/>
                <w:noProof/>
              </w:rPr>
              <w:t>Javna turistička infrastruktura</w:t>
            </w:r>
            <w:r>
              <w:rPr>
                <w:noProof/>
                <w:webHidden/>
              </w:rPr>
              <w:tab/>
            </w:r>
            <w:r>
              <w:rPr>
                <w:noProof/>
                <w:webHidden/>
              </w:rPr>
              <w:fldChar w:fldCharType="begin"/>
            </w:r>
            <w:r>
              <w:rPr>
                <w:noProof/>
                <w:webHidden/>
              </w:rPr>
              <w:instrText xml:space="preserve"> PAGEREF _Toc217040644 \h </w:instrText>
            </w:r>
            <w:r>
              <w:rPr>
                <w:noProof/>
                <w:webHidden/>
              </w:rPr>
            </w:r>
            <w:r>
              <w:rPr>
                <w:noProof/>
                <w:webHidden/>
              </w:rPr>
              <w:fldChar w:fldCharType="separate"/>
            </w:r>
            <w:r>
              <w:rPr>
                <w:noProof/>
                <w:webHidden/>
              </w:rPr>
              <w:t>23</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45" w:history="1">
            <w:r w:rsidRPr="00C504E7">
              <w:rPr>
                <w:rStyle w:val="Hiperveza"/>
                <w:rFonts w:ascii="Times New Roman" w:hAnsi="Times New Roman" w:cs="Times New Roman"/>
                <w:noProof/>
              </w:rPr>
              <w:t>3.2.1.</w:t>
            </w:r>
            <w:r>
              <w:rPr>
                <w:rFonts w:eastAsiaTheme="minorEastAsia"/>
                <w:noProof/>
                <w:sz w:val="24"/>
                <w:szCs w:val="24"/>
                <w:lang w:eastAsia="hr-HR"/>
              </w:rPr>
              <w:tab/>
            </w:r>
            <w:r w:rsidRPr="00C504E7">
              <w:rPr>
                <w:rStyle w:val="Hiperveza"/>
                <w:rFonts w:ascii="Times New Roman" w:hAnsi="Times New Roman" w:cs="Times New Roman"/>
                <w:noProof/>
              </w:rPr>
              <w:t>Primarna turistička infrastruktura</w:t>
            </w:r>
            <w:r>
              <w:rPr>
                <w:noProof/>
                <w:webHidden/>
              </w:rPr>
              <w:tab/>
            </w:r>
            <w:r>
              <w:rPr>
                <w:noProof/>
                <w:webHidden/>
              </w:rPr>
              <w:fldChar w:fldCharType="begin"/>
            </w:r>
            <w:r>
              <w:rPr>
                <w:noProof/>
                <w:webHidden/>
              </w:rPr>
              <w:instrText xml:space="preserve"> PAGEREF _Toc217040645 \h </w:instrText>
            </w:r>
            <w:r>
              <w:rPr>
                <w:noProof/>
                <w:webHidden/>
              </w:rPr>
            </w:r>
            <w:r>
              <w:rPr>
                <w:noProof/>
                <w:webHidden/>
              </w:rPr>
              <w:fldChar w:fldCharType="separate"/>
            </w:r>
            <w:r>
              <w:rPr>
                <w:noProof/>
                <w:webHidden/>
              </w:rPr>
              <w:t>23</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46" w:history="1">
            <w:r w:rsidRPr="00C504E7">
              <w:rPr>
                <w:rStyle w:val="Hiperveza"/>
                <w:rFonts w:ascii="Times New Roman" w:hAnsi="Times New Roman" w:cs="Times New Roman"/>
                <w:noProof/>
              </w:rPr>
              <w:t>3.2.2.</w:t>
            </w:r>
            <w:r>
              <w:rPr>
                <w:rFonts w:eastAsiaTheme="minorEastAsia"/>
                <w:noProof/>
                <w:sz w:val="24"/>
                <w:szCs w:val="24"/>
                <w:lang w:eastAsia="hr-HR"/>
              </w:rPr>
              <w:tab/>
            </w:r>
            <w:r w:rsidRPr="00C504E7">
              <w:rPr>
                <w:rStyle w:val="Hiperveza"/>
                <w:rFonts w:ascii="Times New Roman" w:hAnsi="Times New Roman" w:cs="Times New Roman"/>
                <w:noProof/>
              </w:rPr>
              <w:t>Sekundarna turistička infrastruktura</w:t>
            </w:r>
            <w:r>
              <w:rPr>
                <w:noProof/>
                <w:webHidden/>
              </w:rPr>
              <w:tab/>
            </w:r>
            <w:r>
              <w:rPr>
                <w:noProof/>
                <w:webHidden/>
              </w:rPr>
              <w:fldChar w:fldCharType="begin"/>
            </w:r>
            <w:r>
              <w:rPr>
                <w:noProof/>
                <w:webHidden/>
              </w:rPr>
              <w:instrText xml:space="preserve"> PAGEREF _Toc217040646 \h </w:instrText>
            </w:r>
            <w:r>
              <w:rPr>
                <w:noProof/>
                <w:webHidden/>
              </w:rPr>
            </w:r>
            <w:r>
              <w:rPr>
                <w:noProof/>
                <w:webHidden/>
              </w:rPr>
              <w:fldChar w:fldCharType="separate"/>
            </w:r>
            <w:r>
              <w:rPr>
                <w:noProof/>
                <w:webHidden/>
              </w:rPr>
              <w:t>24</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47" w:history="1">
            <w:r w:rsidRPr="00C504E7">
              <w:rPr>
                <w:rStyle w:val="Hiperveza"/>
                <w:rFonts w:ascii="Times New Roman" w:hAnsi="Times New Roman" w:cs="Times New Roman"/>
                <w:noProof/>
              </w:rPr>
              <w:t>3.3.</w:t>
            </w:r>
            <w:r>
              <w:rPr>
                <w:rFonts w:eastAsiaTheme="minorEastAsia"/>
                <w:noProof/>
                <w:sz w:val="24"/>
                <w:szCs w:val="24"/>
                <w:lang w:eastAsia="hr-HR"/>
              </w:rPr>
              <w:tab/>
            </w:r>
            <w:r w:rsidRPr="00C504E7">
              <w:rPr>
                <w:rStyle w:val="Hiperveza"/>
                <w:rFonts w:ascii="Times New Roman" w:hAnsi="Times New Roman" w:cs="Times New Roman"/>
                <w:noProof/>
              </w:rPr>
              <w:t>Komunalna infrastruktura</w:t>
            </w:r>
            <w:r>
              <w:rPr>
                <w:noProof/>
                <w:webHidden/>
              </w:rPr>
              <w:tab/>
            </w:r>
            <w:r>
              <w:rPr>
                <w:noProof/>
                <w:webHidden/>
              </w:rPr>
              <w:fldChar w:fldCharType="begin"/>
            </w:r>
            <w:r>
              <w:rPr>
                <w:noProof/>
                <w:webHidden/>
              </w:rPr>
              <w:instrText xml:space="preserve"> PAGEREF _Toc217040647 \h </w:instrText>
            </w:r>
            <w:r>
              <w:rPr>
                <w:noProof/>
                <w:webHidden/>
              </w:rPr>
            </w:r>
            <w:r>
              <w:rPr>
                <w:noProof/>
                <w:webHidden/>
              </w:rPr>
              <w:fldChar w:fldCharType="separate"/>
            </w:r>
            <w:r>
              <w:rPr>
                <w:noProof/>
                <w:webHidden/>
              </w:rPr>
              <w:t>25</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48" w:history="1">
            <w:r w:rsidRPr="00C504E7">
              <w:rPr>
                <w:rStyle w:val="Hiperveza"/>
                <w:rFonts w:ascii="Times New Roman" w:hAnsi="Times New Roman" w:cs="Times New Roman"/>
                <w:noProof/>
              </w:rPr>
              <w:t>3.3.1.</w:t>
            </w:r>
            <w:r>
              <w:rPr>
                <w:rFonts w:eastAsiaTheme="minorEastAsia"/>
                <w:noProof/>
                <w:sz w:val="24"/>
                <w:szCs w:val="24"/>
                <w:lang w:eastAsia="hr-HR"/>
              </w:rPr>
              <w:tab/>
            </w:r>
            <w:r w:rsidRPr="00C504E7">
              <w:rPr>
                <w:rStyle w:val="Hiperveza"/>
                <w:rFonts w:ascii="Times New Roman" w:hAnsi="Times New Roman" w:cs="Times New Roman"/>
                <w:noProof/>
              </w:rPr>
              <w:t>Telekomunikacijska infrastruktura i dostupnost interneta</w:t>
            </w:r>
            <w:r>
              <w:rPr>
                <w:noProof/>
                <w:webHidden/>
              </w:rPr>
              <w:tab/>
            </w:r>
            <w:r>
              <w:rPr>
                <w:noProof/>
                <w:webHidden/>
              </w:rPr>
              <w:fldChar w:fldCharType="begin"/>
            </w:r>
            <w:r>
              <w:rPr>
                <w:noProof/>
                <w:webHidden/>
              </w:rPr>
              <w:instrText xml:space="preserve"> PAGEREF _Toc217040648 \h </w:instrText>
            </w:r>
            <w:r>
              <w:rPr>
                <w:noProof/>
                <w:webHidden/>
              </w:rPr>
            </w:r>
            <w:r>
              <w:rPr>
                <w:noProof/>
                <w:webHidden/>
              </w:rPr>
              <w:fldChar w:fldCharType="separate"/>
            </w:r>
            <w:r>
              <w:rPr>
                <w:noProof/>
                <w:webHidden/>
              </w:rPr>
              <w:t>25</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49" w:history="1">
            <w:r w:rsidRPr="00C504E7">
              <w:rPr>
                <w:rStyle w:val="Hiperveza"/>
                <w:rFonts w:ascii="Times New Roman" w:hAnsi="Times New Roman" w:cs="Times New Roman"/>
                <w:noProof/>
              </w:rPr>
              <w:t>3.3.2.</w:t>
            </w:r>
            <w:r>
              <w:rPr>
                <w:rFonts w:eastAsiaTheme="minorEastAsia"/>
                <w:noProof/>
                <w:sz w:val="24"/>
                <w:szCs w:val="24"/>
                <w:lang w:eastAsia="hr-HR"/>
              </w:rPr>
              <w:tab/>
            </w:r>
            <w:r w:rsidRPr="00C504E7">
              <w:rPr>
                <w:rStyle w:val="Hiperveza"/>
                <w:rFonts w:ascii="Times New Roman" w:hAnsi="Times New Roman" w:cs="Times New Roman"/>
                <w:noProof/>
              </w:rPr>
              <w:t>Energetska infrastruktura</w:t>
            </w:r>
            <w:r>
              <w:rPr>
                <w:noProof/>
                <w:webHidden/>
              </w:rPr>
              <w:tab/>
            </w:r>
            <w:r>
              <w:rPr>
                <w:noProof/>
                <w:webHidden/>
              </w:rPr>
              <w:fldChar w:fldCharType="begin"/>
            </w:r>
            <w:r>
              <w:rPr>
                <w:noProof/>
                <w:webHidden/>
              </w:rPr>
              <w:instrText xml:space="preserve"> PAGEREF _Toc217040649 \h </w:instrText>
            </w:r>
            <w:r>
              <w:rPr>
                <w:noProof/>
                <w:webHidden/>
              </w:rPr>
            </w:r>
            <w:r>
              <w:rPr>
                <w:noProof/>
                <w:webHidden/>
              </w:rPr>
              <w:fldChar w:fldCharType="separate"/>
            </w:r>
            <w:r>
              <w:rPr>
                <w:noProof/>
                <w:webHidden/>
              </w:rPr>
              <w:t>26</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50" w:history="1">
            <w:r w:rsidRPr="00C504E7">
              <w:rPr>
                <w:rStyle w:val="Hiperveza"/>
                <w:rFonts w:ascii="Times New Roman" w:hAnsi="Times New Roman" w:cs="Times New Roman"/>
                <w:noProof/>
              </w:rPr>
              <w:t>3.3.3.</w:t>
            </w:r>
            <w:r>
              <w:rPr>
                <w:rFonts w:eastAsiaTheme="minorEastAsia"/>
                <w:noProof/>
                <w:sz w:val="24"/>
                <w:szCs w:val="24"/>
                <w:lang w:eastAsia="hr-HR"/>
              </w:rPr>
              <w:tab/>
            </w:r>
            <w:r w:rsidRPr="00C504E7">
              <w:rPr>
                <w:rStyle w:val="Hiperveza"/>
                <w:rFonts w:ascii="Times New Roman" w:hAnsi="Times New Roman" w:cs="Times New Roman"/>
                <w:noProof/>
              </w:rPr>
              <w:t>Vodoopskrba i odvodnja</w:t>
            </w:r>
            <w:r>
              <w:rPr>
                <w:noProof/>
                <w:webHidden/>
              </w:rPr>
              <w:tab/>
            </w:r>
            <w:r>
              <w:rPr>
                <w:noProof/>
                <w:webHidden/>
              </w:rPr>
              <w:fldChar w:fldCharType="begin"/>
            </w:r>
            <w:r>
              <w:rPr>
                <w:noProof/>
                <w:webHidden/>
              </w:rPr>
              <w:instrText xml:space="preserve"> PAGEREF _Toc217040650 \h </w:instrText>
            </w:r>
            <w:r>
              <w:rPr>
                <w:noProof/>
                <w:webHidden/>
              </w:rPr>
            </w:r>
            <w:r>
              <w:rPr>
                <w:noProof/>
                <w:webHidden/>
              </w:rPr>
              <w:fldChar w:fldCharType="separate"/>
            </w:r>
            <w:r>
              <w:rPr>
                <w:noProof/>
                <w:webHidden/>
              </w:rPr>
              <w:t>27</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51" w:history="1">
            <w:r w:rsidRPr="00C504E7">
              <w:rPr>
                <w:rStyle w:val="Hiperveza"/>
                <w:rFonts w:ascii="Times New Roman" w:hAnsi="Times New Roman" w:cs="Times New Roman"/>
                <w:noProof/>
              </w:rPr>
              <w:t>3.3.4.</w:t>
            </w:r>
            <w:r>
              <w:rPr>
                <w:rFonts w:eastAsiaTheme="minorEastAsia"/>
                <w:noProof/>
                <w:sz w:val="24"/>
                <w:szCs w:val="24"/>
                <w:lang w:eastAsia="hr-HR"/>
              </w:rPr>
              <w:tab/>
            </w:r>
            <w:r w:rsidRPr="00C504E7">
              <w:rPr>
                <w:rStyle w:val="Hiperveza"/>
                <w:rFonts w:ascii="Times New Roman" w:hAnsi="Times New Roman" w:cs="Times New Roman"/>
                <w:noProof/>
              </w:rPr>
              <w:t>Otpadne vode</w:t>
            </w:r>
            <w:r>
              <w:rPr>
                <w:noProof/>
                <w:webHidden/>
              </w:rPr>
              <w:tab/>
            </w:r>
            <w:r>
              <w:rPr>
                <w:noProof/>
                <w:webHidden/>
              </w:rPr>
              <w:fldChar w:fldCharType="begin"/>
            </w:r>
            <w:r>
              <w:rPr>
                <w:noProof/>
                <w:webHidden/>
              </w:rPr>
              <w:instrText xml:space="preserve"> PAGEREF _Toc217040651 \h </w:instrText>
            </w:r>
            <w:r>
              <w:rPr>
                <w:noProof/>
                <w:webHidden/>
              </w:rPr>
            </w:r>
            <w:r>
              <w:rPr>
                <w:noProof/>
                <w:webHidden/>
              </w:rPr>
              <w:fldChar w:fldCharType="separate"/>
            </w:r>
            <w:r>
              <w:rPr>
                <w:noProof/>
                <w:webHidden/>
              </w:rPr>
              <w:t>27</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52" w:history="1">
            <w:r w:rsidRPr="00C504E7">
              <w:rPr>
                <w:rStyle w:val="Hiperveza"/>
                <w:rFonts w:ascii="Times New Roman" w:hAnsi="Times New Roman" w:cs="Times New Roman"/>
                <w:noProof/>
              </w:rPr>
              <w:t>3.3.5.</w:t>
            </w:r>
            <w:r>
              <w:rPr>
                <w:rFonts w:eastAsiaTheme="minorEastAsia"/>
                <w:noProof/>
                <w:sz w:val="24"/>
                <w:szCs w:val="24"/>
                <w:lang w:eastAsia="hr-HR"/>
              </w:rPr>
              <w:tab/>
            </w:r>
            <w:r w:rsidRPr="00C504E7">
              <w:rPr>
                <w:rStyle w:val="Hiperveza"/>
                <w:rFonts w:ascii="Times New Roman" w:hAnsi="Times New Roman" w:cs="Times New Roman"/>
                <w:noProof/>
              </w:rPr>
              <w:t>Gospodarenje otpadom</w:t>
            </w:r>
            <w:r>
              <w:rPr>
                <w:noProof/>
                <w:webHidden/>
              </w:rPr>
              <w:tab/>
            </w:r>
            <w:r>
              <w:rPr>
                <w:noProof/>
                <w:webHidden/>
              </w:rPr>
              <w:fldChar w:fldCharType="begin"/>
            </w:r>
            <w:r>
              <w:rPr>
                <w:noProof/>
                <w:webHidden/>
              </w:rPr>
              <w:instrText xml:space="preserve"> PAGEREF _Toc217040652 \h </w:instrText>
            </w:r>
            <w:r>
              <w:rPr>
                <w:noProof/>
                <w:webHidden/>
              </w:rPr>
            </w:r>
            <w:r>
              <w:rPr>
                <w:noProof/>
                <w:webHidden/>
              </w:rPr>
              <w:fldChar w:fldCharType="separate"/>
            </w:r>
            <w:r>
              <w:rPr>
                <w:noProof/>
                <w:webHidden/>
              </w:rPr>
              <w:t>28</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53" w:history="1">
            <w:r w:rsidRPr="00C504E7">
              <w:rPr>
                <w:rStyle w:val="Hiperveza"/>
                <w:rFonts w:ascii="Times New Roman" w:hAnsi="Times New Roman" w:cs="Times New Roman"/>
                <w:noProof/>
              </w:rPr>
              <w:t>3.4.</w:t>
            </w:r>
            <w:r>
              <w:rPr>
                <w:rFonts w:eastAsiaTheme="minorEastAsia"/>
                <w:noProof/>
                <w:sz w:val="24"/>
                <w:szCs w:val="24"/>
                <w:lang w:eastAsia="hr-HR"/>
              </w:rPr>
              <w:tab/>
            </w:r>
            <w:r w:rsidRPr="00C504E7">
              <w:rPr>
                <w:rStyle w:val="Hiperveza"/>
                <w:rFonts w:ascii="Times New Roman" w:hAnsi="Times New Roman" w:cs="Times New Roman"/>
                <w:noProof/>
              </w:rPr>
              <w:t>Prometna infrastruktura</w:t>
            </w:r>
            <w:r>
              <w:rPr>
                <w:noProof/>
                <w:webHidden/>
              </w:rPr>
              <w:tab/>
            </w:r>
            <w:r>
              <w:rPr>
                <w:noProof/>
                <w:webHidden/>
              </w:rPr>
              <w:fldChar w:fldCharType="begin"/>
            </w:r>
            <w:r>
              <w:rPr>
                <w:noProof/>
                <w:webHidden/>
              </w:rPr>
              <w:instrText xml:space="preserve"> PAGEREF _Toc217040653 \h </w:instrText>
            </w:r>
            <w:r>
              <w:rPr>
                <w:noProof/>
                <w:webHidden/>
              </w:rPr>
            </w:r>
            <w:r>
              <w:rPr>
                <w:noProof/>
                <w:webHidden/>
              </w:rPr>
              <w:fldChar w:fldCharType="separate"/>
            </w:r>
            <w:r>
              <w:rPr>
                <w:noProof/>
                <w:webHidden/>
              </w:rPr>
              <w:t>29</w:t>
            </w:r>
            <w:r>
              <w:rPr>
                <w:noProof/>
                <w:webHidden/>
              </w:rPr>
              <w:fldChar w:fldCharType="end"/>
            </w:r>
          </w:hyperlink>
        </w:p>
        <w:p w:rsidR="002D0BA4" w:rsidRDefault="002D0BA4">
          <w:pPr>
            <w:pStyle w:val="Sadraj3"/>
            <w:tabs>
              <w:tab w:val="right" w:leader="dot" w:pos="9062"/>
            </w:tabs>
            <w:rPr>
              <w:rFonts w:eastAsiaTheme="minorEastAsia"/>
              <w:noProof/>
              <w:sz w:val="24"/>
              <w:szCs w:val="24"/>
              <w:lang w:eastAsia="hr-HR"/>
            </w:rPr>
          </w:pPr>
          <w:hyperlink w:anchor="_Toc217040654" w:history="1">
            <w:r w:rsidRPr="00C504E7">
              <w:rPr>
                <w:rStyle w:val="Hiperveza"/>
                <w:rFonts w:ascii="Times New Roman" w:hAnsi="Times New Roman" w:cs="Times New Roman"/>
                <w:noProof/>
              </w:rPr>
              <w:t>3.4.1. Morski promet, pristaništa i luke</w:t>
            </w:r>
            <w:r>
              <w:rPr>
                <w:noProof/>
                <w:webHidden/>
              </w:rPr>
              <w:tab/>
            </w:r>
            <w:r>
              <w:rPr>
                <w:noProof/>
                <w:webHidden/>
              </w:rPr>
              <w:fldChar w:fldCharType="begin"/>
            </w:r>
            <w:r>
              <w:rPr>
                <w:noProof/>
                <w:webHidden/>
              </w:rPr>
              <w:instrText xml:space="preserve"> PAGEREF _Toc217040654 \h </w:instrText>
            </w:r>
            <w:r>
              <w:rPr>
                <w:noProof/>
                <w:webHidden/>
              </w:rPr>
            </w:r>
            <w:r>
              <w:rPr>
                <w:noProof/>
                <w:webHidden/>
              </w:rPr>
              <w:fldChar w:fldCharType="separate"/>
            </w:r>
            <w:r>
              <w:rPr>
                <w:noProof/>
                <w:webHidden/>
              </w:rPr>
              <w:t>29</w:t>
            </w:r>
            <w:r>
              <w:rPr>
                <w:noProof/>
                <w:webHidden/>
              </w:rPr>
              <w:fldChar w:fldCharType="end"/>
            </w:r>
          </w:hyperlink>
        </w:p>
        <w:p w:rsidR="002D0BA4" w:rsidRDefault="002D0BA4">
          <w:pPr>
            <w:pStyle w:val="Sadraj3"/>
            <w:tabs>
              <w:tab w:val="right" w:leader="dot" w:pos="9062"/>
            </w:tabs>
            <w:rPr>
              <w:rFonts w:eastAsiaTheme="minorEastAsia"/>
              <w:noProof/>
              <w:sz w:val="24"/>
              <w:szCs w:val="24"/>
              <w:lang w:eastAsia="hr-HR"/>
            </w:rPr>
          </w:pPr>
          <w:hyperlink w:anchor="_Toc217040655" w:history="1">
            <w:r w:rsidRPr="00C504E7">
              <w:rPr>
                <w:rStyle w:val="Hiperveza"/>
                <w:rFonts w:ascii="Times New Roman" w:hAnsi="Times New Roman" w:cs="Times New Roman"/>
                <w:noProof/>
              </w:rPr>
              <w:t>3.4.2. Cestovna mreža</w:t>
            </w:r>
            <w:r>
              <w:rPr>
                <w:noProof/>
                <w:webHidden/>
              </w:rPr>
              <w:tab/>
            </w:r>
            <w:r>
              <w:rPr>
                <w:noProof/>
                <w:webHidden/>
              </w:rPr>
              <w:fldChar w:fldCharType="begin"/>
            </w:r>
            <w:r>
              <w:rPr>
                <w:noProof/>
                <w:webHidden/>
              </w:rPr>
              <w:instrText xml:space="preserve"> PAGEREF _Toc217040655 \h </w:instrText>
            </w:r>
            <w:r>
              <w:rPr>
                <w:noProof/>
                <w:webHidden/>
              </w:rPr>
            </w:r>
            <w:r>
              <w:rPr>
                <w:noProof/>
                <w:webHidden/>
              </w:rPr>
              <w:fldChar w:fldCharType="separate"/>
            </w:r>
            <w:r>
              <w:rPr>
                <w:noProof/>
                <w:webHidden/>
              </w:rPr>
              <w:t>31</w:t>
            </w:r>
            <w:r>
              <w:rPr>
                <w:noProof/>
                <w:webHidden/>
              </w:rPr>
              <w:fldChar w:fldCharType="end"/>
            </w:r>
          </w:hyperlink>
        </w:p>
        <w:p w:rsidR="002D0BA4" w:rsidRDefault="002D0BA4">
          <w:pPr>
            <w:pStyle w:val="Sadraj3"/>
            <w:tabs>
              <w:tab w:val="right" w:leader="dot" w:pos="9062"/>
            </w:tabs>
            <w:rPr>
              <w:rFonts w:eastAsiaTheme="minorEastAsia"/>
              <w:noProof/>
              <w:sz w:val="24"/>
              <w:szCs w:val="24"/>
              <w:lang w:eastAsia="hr-HR"/>
            </w:rPr>
          </w:pPr>
          <w:hyperlink w:anchor="_Toc217040656" w:history="1">
            <w:r w:rsidRPr="00C504E7">
              <w:rPr>
                <w:rStyle w:val="Hiperveza"/>
                <w:rFonts w:ascii="Times New Roman" w:hAnsi="Times New Roman" w:cs="Times New Roman"/>
                <w:noProof/>
              </w:rPr>
              <w:t>3.4.3. Parkirališta i promet u mirovanju</w:t>
            </w:r>
            <w:r>
              <w:rPr>
                <w:noProof/>
                <w:webHidden/>
              </w:rPr>
              <w:tab/>
            </w:r>
            <w:r>
              <w:rPr>
                <w:noProof/>
                <w:webHidden/>
              </w:rPr>
              <w:fldChar w:fldCharType="begin"/>
            </w:r>
            <w:r>
              <w:rPr>
                <w:noProof/>
                <w:webHidden/>
              </w:rPr>
              <w:instrText xml:space="preserve"> PAGEREF _Toc217040656 \h </w:instrText>
            </w:r>
            <w:r>
              <w:rPr>
                <w:noProof/>
                <w:webHidden/>
              </w:rPr>
            </w:r>
            <w:r>
              <w:rPr>
                <w:noProof/>
                <w:webHidden/>
              </w:rPr>
              <w:fldChar w:fldCharType="separate"/>
            </w:r>
            <w:r>
              <w:rPr>
                <w:noProof/>
                <w:webHidden/>
              </w:rPr>
              <w:t>31</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57" w:history="1">
            <w:r w:rsidRPr="00C504E7">
              <w:rPr>
                <w:rStyle w:val="Hiperveza"/>
                <w:rFonts w:ascii="Times New Roman" w:hAnsi="Times New Roman" w:cs="Times New Roman"/>
                <w:noProof/>
              </w:rPr>
              <w:t>3.5.</w:t>
            </w:r>
            <w:r>
              <w:rPr>
                <w:rFonts w:eastAsiaTheme="minorEastAsia"/>
                <w:noProof/>
                <w:sz w:val="24"/>
                <w:szCs w:val="24"/>
                <w:lang w:eastAsia="hr-HR"/>
              </w:rPr>
              <w:tab/>
            </w:r>
            <w:r w:rsidRPr="00C504E7">
              <w:rPr>
                <w:rStyle w:val="Hiperveza"/>
                <w:rFonts w:ascii="Times New Roman" w:hAnsi="Times New Roman" w:cs="Times New Roman"/>
                <w:noProof/>
              </w:rPr>
              <w:t>Analiza stanja digitalizacije</w:t>
            </w:r>
            <w:r>
              <w:rPr>
                <w:noProof/>
                <w:webHidden/>
              </w:rPr>
              <w:tab/>
            </w:r>
            <w:r>
              <w:rPr>
                <w:noProof/>
                <w:webHidden/>
              </w:rPr>
              <w:fldChar w:fldCharType="begin"/>
            </w:r>
            <w:r>
              <w:rPr>
                <w:noProof/>
                <w:webHidden/>
              </w:rPr>
              <w:instrText xml:space="preserve"> PAGEREF _Toc217040657 \h </w:instrText>
            </w:r>
            <w:r>
              <w:rPr>
                <w:noProof/>
                <w:webHidden/>
              </w:rPr>
            </w:r>
            <w:r>
              <w:rPr>
                <w:noProof/>
                <w:webHidden/>
              </w:rPr>
              <w:fldChar w:fldCharType="separate"/>
            </w:r>
            <w:r>
              <w:rPr>
                <w:noProof/>
                <w:webHidden/>
              </w:rPr>
              <w:t>32</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58" w:history="1">
            <w:r w:rsidRPr="00C504E7">
              <w:rPr>
                <w:rStyle w:val="Hiperveza"/>
                <w:rFonts w:ascii="Times New Roman" w:hAnsi="Times New Roman" w:cs="Times New Roman"/>
                <w:noProof/>
              </w:rPr>
              <w:t>3.5.1.</w:t>
            </w:r>
            <w:r>
              <w:rPr>
                <w:rFonts w:eastAsiaTheme="minorEastAsia"/>
                <w:noProof/>
                <w:sz w:val="24"/>
                <w:szCs w:val="24"/>
                <w:lang w:eastAsia="hr-HR"/>
              </w:rPr>
              <w:tab/>
            </w:r>
            <w:r w:rsidRPr="00C504E7">
              <w:rPr>
                <w:rStyle w:val="Hiperveza"/>
                <w:rFonts w:ascii="Times New Roman" w:hAnsi="Times New Roman" w:cs="Times New Roman"/>
                <w:noProof/>
              </w:rPr>
              <w:t>Digitalna infrastruktura i povezanost</w:t>
            </w:r>
            <w:r>
              <w:rPr>
                <w:noProof/>
                <w:webHidden/>
              </w:rPr>
              <w:tab/>
            </w:r>
            <w:r>
              <w:rPr>
                <w:noProof/>
                <w:webHidden/>
              </w:rPr>
              <w:fldChar w:fldCharType="begin"/>
            </w:r>
            <w:r>
              <w:rPr>
                <w:noProof/>
                <w:webHidden/>
              </w:rPr>
              <w:instrText xml:space="preserve"> PAGEREF _Toc217040658 \h </w:instrText>
            </w:r>
            <w:r>
              <w:rPr>
                <w:noProof/>
                <w:webHidden/>
              </w:rPr>
            </w:r>
            <w:r>
              <w:rPr>
                <w:noProof/>
                <w:webHidden/>
              </w:rPr>
              <w:fldChar w:fldCharType="separate"/>
            </w:r>
            <w:r>
              <w:rPr>
                <w:noProof/>
                <w:webHidden/>
              </w:rPr>
              <w:t>32</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59" w:history="1">
            <w:r w:rsidRPr="00C504E7">
              <w:rPr>
                <w:rStyle w:val="Hiperveza"/>
                <w:rFonts w:ascii="Times New Roman" w:hAnsi="Times New Roman" w:cs="Times New Roman"/>
                <w:noProof/>
              </w:rPr>
              <w:t>3.5.2.</w:t>
            </w:r>
            <w:r>
              <w:rPr>
                <w:rFonts w:eastAsiaTheme="minorEastAsia"/>
                <w:noProof/>
                <w:sz w:val="24"/>
                <w:szCs w:val="24"/>
                <w:lang w:eastAsia="hr-HR"/>
              </w:rPr>
              <w:tab/>
            </w:r>
            <w:r w:rsidRPr="00C504E7">
              <w:rPr>
                <w:rStyle w:val="Hiperveza"/>
                <w:rFonts w:ascii="Times New Roman" w:hAnsi="Times New Roman" w:cs="Times New Roman"/>
                <w:noProof/>
              </w:rPr>
              <w:t>Digitalni alati za upravljanje turizmom</w:t>
            </w:r>
            <w:r>
              <w:rPr>
                <w:noProof/>
                <w:webHidden/>
              </w:rPr>
              <w:tab/>
            </w:r>
            <w:r>
              <w:rPr>
                <w:noProof/>
                <w:webHidden/>
              </w:rPr>
              <w:fldChar w:fldCharType="begin"/>
            </w:r>
            <w:r>
              <w:rPr>
                <w:noProof/>
                <w:webHidden/>
              </w:rPr>
              <w:instrText xml:space="preserve"> PAGEREF _Toc217040659 \h </w:instrText>
            </w:r>
            <w:r>
              <w:rPr>
                <w:noProof/>
                <w:webHidden/>
              </w:rPr>
            </w:r>
            <w:r>
              <w:rPr>
                <w:noProof/>
                <w:webHidden/>
              </w:rPr>
              <w:fldChar w:fldCharType="separate"/>
            </w:r>
            <w:r>
              <w:rPr>
                <w:noProof/>
                <w:webHidden/>
              </w:rPr>
              <w:t>32</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0" w:history="1">
            <w:r w:rsidRPr="00C504E7">
              <w:rPr>
                <w:rStyle w:val="Hiperveza"/>
                <w:rFonts w:ascii="Times New Roman" w:hAnsi="Times New Roman" w:cs="Times New Roman"/>
                <w:noProof/>
              </w:rPr>
              <w:t>3.5.3.</w:t>
            </w:r>
            <w:r>
              <w:rPr>
                <w:rFonts w:eastAsiaTheme="minorEastAsia"/>
                <w:noProof/>
                <w:sz w:val="24"/>
                <w:szCs w:val="24"/>
                <w:lang w:eastAsia="hr-HR"/>
              </w:rPr>
              <w:tab/>
            </w:r>
            <w:r w:rsidRPr="00C504E7">
              <w:rPr>
                <w:rStyle w:val="Hiperveza"/>
                <w:rFonts w:ascii="Times New Roman" w:hAnsi="Times New Roman" w:cs="Times New Roman"/>
                <w:noProof/>
              </w:rPr>
              <w:t>Digitalna transformacija lokalne zajednice</w:t>
            </w:r>
            <w:r>
              <w:rPr>
                <w:noProof/>
                <w:webHidden/>
              </w:rPr>
              <w:tab/>
            </w:r>
            <w:r>
              <w:rPr>
                <w:noProof/>
                <w:webHidden/>
              </w:rPr>
              <w:fldChar w:fldCharType="begin"/>
            </w:r>
            <w:r>
              <w:rPr>
                <w:noProof/>
                <w:webHidden/>
              </w:rPr>
              <w:instrText xml:space="preserve"> PAGEREF _Toc217040660 \h </w:instrText>
            </w:r>
            <w:r>
              <w:rPr>
                <w:noProof/>
                <w:webHidden/>
              </w:rPr>
            </w:r>
            <w:r>
              <w:rPr>
                <w:noProof/>
                <w:webHidden/>
              </w:rPr>
              <w:fldChar w:fldCharType="separate"/>
            </w:r>
            <w:r>
              <w:rPr>
                <w:noProof/>
                <w:webHidden/>
              </w:rPr>
              <w:t>33</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1" w:history="1">
            <w:r w:rsidRPr="00C504E7">
              <w:rPr>
                <w:rStyle w:val="Hiperveza"/>
                <w:rFonts w:ascii="Times New Roman" w:hAnsi="Times New Roman" w:cs="Times New Roman"/>
                <w:noProof/>
              </w:rPr>
              <w:t>3.5.4.</w:t>
            </w:r>
            <w:r>
              <w:rPr>
                <w:rFonts w:eastAsiaTheme="minorEastAsia"/>
                <w:noProof/>
                <w:sz w:val="24"/>
                <w:szCs w:val="24"/>
                <w:lang w:eastAsia="hr-HR"/>
              </w:rPr>
              <w:tab/>
            </w:r>
            <w:r w:rsidRPr="00C504E7">
              <w:rPr>
                <w:rStyle w:val="Hiperveza"/>
                <w:rFonts w:ascii="Times New Roman" w:hAnsi="Times New Roman" w:cs="Times New Roman"/>
                <w:noProof/>
              </w:rPr>
              <w:t>Sigurnost i privatnost</w:t>
            </w:r>
            <w:r>
              <w:rPr>
                <w:noProof/>
                <w:webHidden/>
              </w:rPr>
              <w:tab/>
            </w:r>
            <w:r>
              <w:rPr>
                <w:noProof/>
                <w:webHidden/>
              </w:rPr>
              <w:fldChar w:fldCharType="begin"/>
            </w:r>
            <w:r>
              <w:rPr>
                <w:noProof/>
                <w:webHidden/>
              </w:rPr>
              <w:instrText xml:space="preserve"> PAGEREF _Toc217040661 \h </w:instrText>
            </w:r>
            <w:r>
              <w:rPr>
                <w:noProof/>
                <w:webHidden/>
              </w:rPr>
            </w:r>
            <w:r>
              <w:rPr>
                <w:noProof/>
                <w:webHidden/>
              </w:rPr>
              <w:fldChar w:fldCharType="separate"/>
            </w:r>
            <w:r>
              <w:rPr>
                <w:noProof/>
                <w:webHidden/>
              </w:rPr>
              <w:t>33</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62" w:history="1">
            <w:r w:rsidRPr="00C504E7">
              <w:rPr>
                <w:rStyle w:val="Hiperveza"/>
                <w:rFonts w:ascii="Times New Roman" w:hAnsi="Times New Roman" w:cs="Times New Roman"/>
                <w:noProof/>
              </w:rPr>
              <w:t>3.6.</w:t>
            </w:r>
            <w:r>
              <w:rPr>
                <w:rFonts w:eastAsiaTheme="minorEastAsia"/>
                <w:noProof/>
                <w:sz w:val="24"/>
                <w:szCs w:val="24"/>
                <w:lang w:eastAsia="hr-HR"/>
              </w:rPr>
              <w:tab/>
            </w:r>
            <w:r w:rsidRPr="00C504E7">
              <w:rPr>
                <w:rStyle w:val="Hiperveza"/>
                <w:rFonts w:ascii="Times New Roman" w:hAnsi="Times New Roman" w:cs="Times New Roman"/>
                <w:noProof/>
              </w:rPr>
              <w:t>Analiza stanja pristupačnosti destinacije osobama s invaliditetom</w:t>
            </w:r>
            <w:r>
              <w:rPr>
                <w:noProof/>
                <w:webHidden/>
              </w:rPr>
              <w:tab/>
            </w:r>
            <w:r>
              <w:rPr>
                <w:noProof/>
                <w:webHidden/>
              </w:rPr>
              <w:fldChar w:fldCharType="begin"/>
            </w:r>
            <w:r>
              <w:rPr>
                <w:noProof/>
                <w:webHidden/>
              </w:rPr>
              <w:instrText xml:space="preserve"> PAGEREF _Toc217040662 \h </w:instrText>
            </w:r>
            <w:r>
              <w:rPr>
                <w:noProof/>
                <w:webHidden/>
              </w:rPr>
            </w:r>
            <w:r>
              <w:rPr>
                <w:noProof/>
                <w:webHidden/>
              </w:rPr>
              <w:fldChar w:fldCharType="separate"/>
            </w:r>
            <w:r>
              <w:rPr>
                <w:noProof/>
                <w:webHidden/>
              </w:rPr>
              <w:t>34</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3" w:history="1">
            <w:r w:rsidRPr="00C504E7">
              <w:rPr>
                <w:rStyle w:val="Hiperveza"/>
                <w:rFonts w:ascii="Times New Roman" w:hAnsi="Times New Roman" w:cs="Times New Roman"/>
                <w:noProof/>
              </w:rPr>
              <w:t>3.6.1.</w:t>
            </w:r>
            <w:r>
              <w:rPr>
                <w:rFonts w:eastAsiaTheme="minorEastAsia"/>
                <w:noProof/>
                <w:sz w:val="24"/>
                <w:szCs w:val="24"/>
                <w:lang w:eastAsia="hr-HR"/>
              </w:rPr>
              <w:tab/>
            </w:r>
            <w:r w:rsidRPr="00C504E7">
              <w:rPr>
                <w:rStyle w:val="Hiperveza"/>
                <w:rFonts w:ascii="Times New Roman" w:hAnsi="Times New Roman" w:cs="Times New Roman"/>
                <w:noProof/>
              </w:rPr>
              <w:t>Fizička pristupačnost</w:t>
            </w:r>
            <w:r>
              <w:rPr>
                <w:noProof/>
                <w:webHidden/>
              </w:rPr>
              <w:tab/>
            </w:r>
            <w:r>
              <w:rPr>
                <w:noProof/>
                <w:webHidden/>
              </w:rPr>
              <w:fldChar w:fldCharType="begin"/>
            </w:r>
            <w:r>
              <w:rPr>
                <w:noProof/>
                <w:webHidden/>
              </w:rPr>
              <w:instrText xml:space="preserve"> PAGEREF _Toc217040663 \h </w:instrText>
            </w:r>
            <w:r>
              <w:rPr>
                <w:noProof/>
                <w:webHidden/>
              </w:rPr>
            </w:r>
            <w:r>
              <w:rPr>
                <w:noProof/>
                <w:webHidden/>
              </w:rPr>
              <w:fldChar w:fldCharType="separate"/>
            </w:r>
            <w:r>
              <w:rPr>
                <w:noProof/>
                <w:webHidden/>
              </w:rPr>
              <w:t>34</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4" w:history="1">
            <w:r w:rsidRPr="00C504E7">
              <w:rPr>
                <w:rStyle w:val="Hiperveza"/>
                <w:rFonts w:ascii="Times New Roman" w:hAnsi="Times New Roman" w:cs="Times New Roman"/>
                <w:noProof/>
              </w:rPr>
              <w:t>3.6.2.</w:t>
            </w:r>
            <w:r>
              <w:rPr>
                <w:rFonts w:eastAsiaTheme="minorEastAsia"/>
                <w:noProof/>
                <w:sz w:val="24"/>
                <w:szCs w:val="24"/>
                <w:lang w:eastAsia="hr-HR"/>
              </w:rPr>
              <w:tab/>
            </w:r>
            <w:r w:rsidRPr="00C504E7">
              <w:rPr>
                <w:rStyle w:val="Hiperveza"/>
                <w:rFonts w:ascii="Times New Roman" w:hAnsi="Times New Roman" w:cs="Times New Roman"/>
                <w:noProof/>
              </w:rPr>
              <w:t>Pristupačnost usluga</w:t>
            </w:r>
            <w:r>
              <w:rPr>
                <w:noProof/>
                <w:webHidden/>
              </w:rPr>
              <w:tab/>
            </w:r>
            <w:r>
              <w:rPr>
                <w:noProof/>
                <w:webHidden/>
              </w:rPr>
              <w:fldChar w:fldCharType="begin"/>
            </w:r>
            <w:r>
              <w:rPr>
                <w:noProof/>
                <w:webHidden/>
              </w:rPr>
              <w:instrText xml:space="preserve"> PAGEREF _Toc217040664 \h </w:instrText>
            </w:r>
            <w:r>
              <w:rPr>
                <w:noProof/>
                <w:webHidden/>
              </w:rPr>
            </w:r>
            <w:r>
              <w:rPr>
                <w:noProof/>
                <w:webHidden/>
              </w:rPr>
              <w:fldChar w:fldCharType="separate"/>
            </w:r>
            <w:r>
              <w:rPr>
                <w:noProof/>
                <w:webHidden/>
              </w:rPr>
              <w:t>35</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5" w:history="1">
            <w:r w:rsidRPr="00C504E7">
              <w:rPr>
                <w:rStyle w:val="Hiperveza"/>
                <w:rFonts w:ascii="Times New Roman" w:hAnsi="Times New Roman" w:cs="Times New Roman"/>
                <w:noProof/>
              </w:rPr>
              <w:t>3.6.3.</w:t>
            </w:r>
            <w:r>
              <w:rPr>
                <w:rFonts w:eastAsiaTheme="minorEastAsia"/>
                <w:noProof/>
                <w:sz w:val="24"/>
                <w:szCs w:val="24"/>
                <w:lang w:eastAsia="hr-HR"/>
              </w:rPr>
              <w:tab/>
            </w:r>
            <w:r w:rsidRPr="00C504E7">
              <w:rPr>
                <w:rStyle w:val="Hiperveza"/>
                <w:rFonts w:ascii="Times New Roman" w:hAnsi="Times New Roman" w:cs="Times New Roman"/>
                <w:noProof/>
              </w:rPr>
              <w:t>Društvena i kognitivna pristupačnost</w:t>
            </w:r>
            <w:r>
              <w:rPr>
                <w:noProof/>
                <w:webHidden/>
              </w:rPr>
              <w:tab/>
            </w:r>
            <w:r>
              <w:rPr>
                <w:noProof/>
                <w:webHidden/>
              </w:rPr>
              <w:fldChar w:fldCharType="begin"/>
            </w:r>
            <w:r>
              <w:rPr>
                <w:noProof/>
                <w:webHidden/>
              </w:rPr>
              <w:instrText xml:space="preserve"> PAGEREF _Toc217040665 \h </w:instrText>
            </w:r>
            <w:r>
              <w:rPr>
                <w:noProof/>
                <w:webHidden/>
              </w:rPr>
            </w:r>
            <w:r>
              <w:rPr>
                <w:noProof/>
                <w:webHidden/>
              </w:rPr>
              <w:fldChar w:fldCharType="separate"/>
            </w:r>
            <w:r>
              <w:rPr>
                <w:noProof/>
                <w:webHidden/>
              </w:rPr>
              <w:t>35</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66" w:history="1">
            <w:r w:rsidRPr="00C504E7">
              <w:rPr>
                <w:rStyle w:val="Hiperveza"/>
                <w:rFonts w:ascii="Times New Roman" w:hAnsi="Times New Roman" w:cs="Times New Roman"/>
                <w:noProof/>
              </w:rPr>
              <w:t>3.7.</w:t>
            </w:r>
            <w:r>
              <w:rPr>
                <w:rFonts w:eastAsiaTheme="minorEastAsia"/>
                <w:noProof/>
                <w:sz w:val="24"/>
                <w:szCs w:val="24"/>
                <w:lang w:eastAsia="hr-HR"/>
              </w:rPr>
              <w:tab/>
            </w:r>
            <w:r w:rsidRPr="00C504E7">
              <w:rPr>
                <w:rStyle w:val="Hiperveza"/>
                <w:rFonts w:ascii="Times New Roman" w:hAnsi="Times New Roman" w:cs="Times New Roman"/>
                <w:noProof/>
              </w:rPr>
              <w:t>Analiza stanja organiziranosti i dostupnosti usluga u destinaciji</w:t>
            </w:r>
            <w:r>
              <w:rPr>
                <w:noProof/>
                <w:webHidden/>
              </w:rPr>
              <w:tab/>
            </w:r>
            <w:r>
              <w:rPr>
                <w:noProof/>
                <w:webHidden/>
              </w:rPr>
              <w:fldChar w:fldCharType="begin"/>
            </w:r>
            <w:r>
              <w:rPr>
                <w:noProof/>
                <w:webHidden/>
              </w:rPr>
              <w:instrText xml:space="preserve"> PAGEREF _Toc217040666 \h </w:instrText>
            </w:r>
            <w:r>
              <w:rPr>
                <w:noProof/>
                <w:webHidden/>
              </w:rPr>
            </w:r>
            <w:r>
              <w:rPr>
                <w:noProof/>
                <w:webHidden/>
              </w:rPr>
              <w:fldChar w:fldCharType="separate"/>
            </w:r>
            <w:r>
              <w:rPr>
                <w:noProof/>
                <w:webHidden/>
              </w:rPr>
              <w:t>36</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7" w:history="1">
            <w:r w:rsidRPr="00C504E7">
              <w:rPr>
                <w:rStyle w:val="Hiperveza"/>
                <w:rFonts w:ascii="Times New Roman" w:hAnsi="Times New Roman" w:cs="Times New Roman"/>
                <w:noProof/>
              </w:rPr>
              <w:t>3.7.1.</w:t>
            </w:r>
            <w:r>
              <w:rPr>
                <w:rFonts w:eastAsiaTheme="minorEastAsia"/>
                <w:noProof/>
                <w:sz w:val="24"/>
                <w:szCs w:val="24"/>
                <w:lang w:eastAsia="hr-HR"/>
              </w:rPr>
              <w:tab/>
            </w:r>
            <w:r w:rsidRPr="00C504E7">
              <w:rPr>
                <w:rStyle w:val="Hiperveza"/>
                <w:rFonts w:ascii="Times New Roman" w:hAnsi="Times New Roman" w:cs="Times New Roman"/>
                <w:noProof/>
              </w:rPr>
              <w:t>Zdravstvena zaštita</w:t>
            </w:r>
            <w:r>
              <w:rPr>
                <w:noProof/>
                <w:webHidden/>
              </w:rPr>
              <w:tab/>
            </w:r>
            <w:r>
              <w:rPr>
                <w:noProof/>
                <w:webHidden/>
              </w:rPr>
              <w:fldChar w:fldCharType="begin"/>
            </w:r>
            <w:r>
              <w:rPr>
                <w:noProof/>
                <w:webHidden/>
              </w:rPr>
              <w:instrText xml:space="preserve"> PAGEREF _Toc217040667 \h </w:instrText>
            </w:r>
            <w:r>
              <w:rPr>
                <w:noProof/>
                <w:webHidden/>
              </w:rPr>
            </w:r>
            <w:r>
              <w:rPr>
                <w:noProof/>
                <w:webHidden/>
              </w:rPr>
              <w:fldChar w:fldCharType="separate"/>
            </w:r>
            <w:r>
              <w:rPr>
                <w:noProof/>
                <w:webHidden/>
              </w:rPr>
              <w:t>36</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8" w:history="1">
            <w:r w:rsidRPr="00C504E7">
              <w:rPr>
                <w:rStyle w:val="Hiperveza"/>
                <w:rFonts w:ascii="Times New Roman" w:hAnsi="Times New Roman" w:cs="Times New Roman"/>
                <w:noProof/>
              </w:rPr>
              <w:t>3.7.2.</w:t>
            </w:r>
            <w:r>
              <w:rPr>
                <w:rFonts w:eastAsiaTheme="minorEastAsia"/>
                <w:noProof/>
                <w:sz w:val="24"/>
                <w:szCs w:val="24"/>
                <w:lang w:eastAsia="hr-HR"/>
              </w:rPr>
              <w:tab/>
            </w:r>
            <w:r w:rsidRPr="00C504E7">
              <w:rPr>
                <w:rStyle w:val="Hiperveza"/>
                <w:rFonts w:ascii="Times New Roman" w:hAnsi="Times New Roman" w:cs="Times New Roman"/>
                <w:noProof/>
              </w:rPr>
              <w:t>Javne i žurne službe</w:t>
            </w:r>
            <w:r>
              <w:rPr>
                <w:noProof/>
                <w:webHidden/>
              </w:rPr>
              <w:tab/>
            </w:r>
            <w:r>
              <w:rPr>
                <w:noProof/>
                <w:webHidden/>
              </w:rPr>
              <w:fldChar w:fldCharType="begin"/>
            </w:r>
            <w:r>
              <w:rPr>
                <w:noProof/>
                <w:webHidden/>
              </w:rPr>
              <w:instrText xml:space="preserve"> PAGEREF _Toc217040668 \h </w:instrText>
            </w:r>
            <w:r>
              <w:rPr>
                <w:noProof/>
                <w:webHidden/>
              </w:rPr>
            </w:r>
            <w:r>
              <w:rPr>
                <w:noProof/>
                <w:webHidden/>
              </w:rPr>
              <w:fldChar w:fldCharType="separate"/>
            </w:r>
            <w:r>
              <w:rPr>
                <w:noProof/>
                <w:webHidden/>
              </w:rPr>
              <w:t>37</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69" w:history="1">
            <w:r w:rsidRPr="00C504E7">
              <w:rPr>
                <w:rStyle w:val="Hiperveza"/>
                <w:rFonts w:ascii="Times New Roman" w:hAnsi="Times New Roman" w:cs="Times New Roman"/>
                <w:noProof/>
              </w:rPr>
              <w:t>3.7.3.</w:t>
            </w:r>
            <w:r>
              <w:rPr>
                <w:rFonts w:eastAsiaTheme="minorEastAsia"/>
                <w:noProof/>
                <w:sz w:val="24"/>
                <w:szCs w:val="24"/>
                <w:lang w:eastAsia="hr-HR"/>
              </w:rPr>
              <w:tab/>
            </w:r>
            <w:r w:rsidRPr="00C504E7">
              <w:rPr>
                <w:rStyle w:val="Hiperveza"/>
                <w:rFonts w:ascii="Times New Roman" w:hAnsi="Times New Roman" w:cs="Times New Roman"/>
                <w:noProof/>
              </w:rPr>
              <w:t>Obrazovanje, kultura i sport</w:t>
            </w:r>
            <w:r>
              <w:rPr>
                <w:noProof/>
                <w:webHidden/>
              </w:rPr>
              <w:tab/>
            </w:r>
            <w:r>
              <w:rPr>
                <w:noProof/>
                <w:webHidden/>
              </w:rPr>
              <w:fldChar w:fldCharType="begin"/>
            </w:r>
            <w:r>
              <w:rPr>
                <w:noProof/>
                <w:webHidden/>
              </w:rPr>
              <w:instrText xml:space="preserve"> PAGEREF _Toc217040669 \h </w:instrText>
            </w:r>
            <w:r>
              <w:rPr>
                <w:noProof/>
                <w:webHidden/>
              </w:rPr>
            </w:r>
            <w:r>
              <w:rPr>
                <w:noProof/>
                <w:webHidden/>
              </w:rPr>
              <w:fldChar w:fldCharType="separate"/>
            </w:r>
            <w:r>
              <w:rPr>
                <w:noProof/>
                <w:webHidden/>
              </w:rPr>
              <w:t>37</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0" w:history="1">
            <w:r w:rsidRPr="00C504E7">
              <w:rPr>
                <w:rStyle w:val="Hiperveza"/>
                <w:rFonts w:ascii="Times New Roman" w:hAnsi="Times New Roman" w:cs="Times New Roman"/>
                <w:noProof/>
              </w:rPr>
              <w:t>3.7.4.</w:t>
            </w:r>
            <w:r>
              <w:rPr>
                <w:rFonts w:eastAsiaTheme="minorEastAsia"/>
                <w:noProof/>
                <w:sz w:val="24"/>
                <w:szCs w:val="24"/>
                <w:lang w:eastAsia="hr-HR"/>
              </w:rPr>
              <w:tab/>
            </w:r>
            <w:r w:rsidRPr="00C504E7">
              <w:rPr>
                <w:rStyle w:val="Hiperveza"/>
                <w:rFonts w:ascii="Times New Roman" w:hAnsi="Times New Roman" w:cs="Times New Roman"/>
                <w:noProof/>
              </w:rPr>
              <w:t>Vjerske zajednice</w:t>
            </w:r>
            <w:r>
              <w:rPr>
                <w:noProof/>
                <w:webHidden/>
              </w:rPr>
              <w:tab/>
            </w:r>
            <w:r>
              <w:rPr>
                <w:noProof/>
                <w:webHidden/>
              </w:rPr>
              <w:fldChar w:fldCharType="begin"/>
            </w:r>
            <w:r>
              <w:rPr>
                <w:noProof/>
                <w:webHidden/>
              </w:rPr>
              <w:instrText xml:space="preserve"> PAGEREF _Toc217040670 \h </w:instrText>
            </w:r>
            <w:r>
              <w:rPr>
                <w:noProof/>
                <w:webHidden/>
              </w:rPr>
            </w:r>
            <w:r>
              <w:rPr>
                <w:noProof/>
                <w:webHidden/>
              </w:rPr>
              <w:fldChar w:fldCharType="separate"/>
            </w:r>
            <w:r>
              <w:rPr>
                <w:noProof/>
                <w:webHidden/>
              </w:rPr>
              <w:t>37</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1" w:history="1">
            <w:r w:rsidRPr="00C504E7">
              <w:rPr>
                <w:rStyle w:val="Hiperveza"/>
                <w:rFonts w:ascii="Times New Roman" w:hAnsi="Times New Roman" w:cs="Times New Roman"/>
                <w:noProof/>
              </w:rPr>
              <w:t>3.7.5.</w:t>
            </w:r>
            <w:r>
              <w:rPr>
                <w:rFonts w:eastAsiaTheme="minorEastAsia"/>
                <w:noProof/>
                <w:sz w:val="24"/>
                <w:szCs w:val="24"/>
                <w:lang w:eastAsia="hr-HR"/>
              </w:rPr>
              <w:tab/>
            </w:r>
            <w:r w:rsidRPr="00C504E7">
              <w:rPr>
                <w:rStyle w:val="Hiperveza"/>
                <w:rFonts w:ascii="Times New Roman" w:hAnsi="Times New Roman" w:cs="Times New Roman"/>
                <w:noProof/>
              </w:rPr>
              <w:t>Financijske, platne i poštanske usluge</w:t>
            </w:r>
            <w:r>
              <w:rPr>
                <w:noProof/>
                <w:webHidden/>
              </w:rPr>
              <w:tab/>
            </w:r>
            <w:r>
              <w:rPr>
                <w:noProof/>
                <w:webHidden/>
              </w:rPr>
              <w:fldChar w:fldCharType="begin"/>
            </w:r>
            <w:r>
              <w:rPr>
                <w:noProof/>
                <w:webHidden/>
              </w:rPr>
              <w:instrText xml:space="preserve"> PAGEREF _Toc217040671 \h </w:instrText>
            </w:r>
            <w:r>
              <w:rPr>
                <w:noProof/>
                <w:webHidden/>
              </w:rPr>
            </w:r>
            <w:r>
              <w:rPr>
                <w:noProof/>
                <w:webHidden/>
              </w:rPr>
              <w:fldChar w:fldCharType="separate"/>
            </w:r>
            <w:r>
              <w:rPr>
                <w:noProof/>
                <w:webHidden/>
              </w:rPr>
              <w:t>37</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2" w:history="1">
            <w:r w:rsidRPr="00C504E7">
              <w:rPr>
                <w:rStyle w:val="Hiperveza"/>
                <w:rFonts w:ascii="Times New Roman" w:hAnsi="Times New Roman" w:cs="Times New Roman"/>
                <w:noProof/>
              </w:rPr>
              <w:t>3.7.6.</w:t>
            </w:r>
            <w:r>
              <w:rPr>
                <w:rFonts w:eastAsiaTheme="minorEastAsia"/>
                <w:noProof/>
                <w:sz w:val="24"/>
                <w:szCs w:val="24"/>
                <w:lang w:eastAsia="hr-HR"/>
              </w:rPr>
              <w:tab/>
            </w:r>
            <w:r w:rsidRPr="00C504E7">
              <w:rPr>
                <w:rStyle w:val="Hiperveza"/>
                <w:rFonts w:ascii="Times New Roman" w:hAnsi="Times New Roman" w:cs="Times New Roman"/>
                <w:noProof/>
              </w:rPr>
              <w:t>Uslužne djelatnosti i opskrba</w:t>
            </w:r>
            <w:r>
              <w:rPr>
                <w:noProof/>
                <w:webHidden/>
              </w:rPr>
              <w:tab/>
            </w:r>
            <w:r>
              <w:rPr>
                <w:noProof/>
                <w:webHidden/>
              </w:rPr>
              <w:fldChar w:fldCharType="begin"/>
            </w:r>
            <w:r>
              <w:rPr>
                <w:noProof/>
                <w:webHidden/>
              </w:rPr>
              <w:instrText xml:space="preserve"> PAGEREF _Toc217040672 \h </w:instrText>
            </w:r>
            <w:r>
              <w:rPr>
                <w:noProof/>
                <w:webHidden/>
              </w:rPr>
            </w:r>
            <w:r>
              <w:rPr>
                <w:noProof/>
                <w:webHidden/>
              </w:rPr>
              <w:fldChar w:fldCharType="separate"/>
            </w:r>
            <w:r>
              <w:rPr>
                <w:noProof/>
                <w:webHidden/>
              </w:rPr>
              <w:t>38</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3" w:history="1">
            <w:r w:rsidRPr="00C504E7">
              <w:rPr>
                <w:rStyle w:val="Hiperveza"/>
                <w:rFonts w:ascii="Times New Roman" w:hAnsi="Times New Roman" w:cs="Times New Roman"/>
                <w:noProof/>
              </w:rPr>
              <w:t>3.7.7.</w:t>
            </w:r>
            <w:r>
              <w:rPr>
                <w:rFonts w:eastAsiaTheme="minorEastAsia"/>
                <w:noProof/>
                <w:sz w:val="24"/>
                <w:szCs w:val="24"/>
                <w:lang w:eastAsia="hr-HR"/>
              </w:rPr>
              <w:tab/>
            </w:r>
            <w:r w:rsidRPr="00C504E7">
              <w:rPr>
                <w:rStyle w:val="Hiperveza"/>
                <w:rFonts w:ascii="Times New Roman" w:hAnsi="Times New Roman" w:cs="Times New Roman"/>
                <w:noProof/>
              </w:rPr>
              <w:t>Javni prostori i uređenost</w:t>
            </w:r>
            <w:r>
              <w:rPr>
                <w:noProof/>
                <w:webHidden/>
              </w:rPr>
              <w:tab/>
            </w:r>
            <w:r>
              <w:rPr>
                <w:noProof/>
                <w:webHidden/>
              </w:rPr>
              <w:fldChar w:fldCharType="begin"/>
            </w:r>
            <w:r>
              <w:rPr>
                <w:noProof/>
                <w:webHidden/>
              </w:rPr>
              <w:instrText xml:space="preserve"> PAGEREF _Toc217040673 \h </w:instrText>
            </w:r>
            <w:r>
              <w:rPr>
                <w:noProof/>
                <w:webHidden/>
              </w:rPr>
            </w:r>
            <w:r>
              <w:rPr>
                <w:noProof/>
                <w:webHidden/>
              </w:rPr>
              <w:fldChar w:fldCharType="separate"/>
            </w:r>
            <w:r>
              <w:rPr>
                <w:noProof/>
                <w:webHidden/>
              </w:rPr>
              <w:t>38</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74" w:history="1">
            <w:r w:rsidRPr="00C504E7">
              <w:rPr>
                <w:rStyle w:val="Hiperveza"/>
                <w:rFonts w:ascii="Times New Roman" w:hAnsi="Times New Roman" w:cs="Times New Roman"/>
                <w:noProof/>
              </w:rPr>
              <w:t>3.8.</w:t>
            </w:r>
            <w:r>
              <w:rPr>
                <w:rFonts w:eastAsiaTheme="minorEastAsia"/>
                <w:noProof/>
                <w:sz w:val="24"/>
                <w:szCs w:val="24"/>
                <w:lang w:eastAsia="hr-HR"/>
              </w:rPr>
              <w:tab/>
            </w:r>
            <w:r w:rsidRPr="00C504E7">
              <w:rPr>
                <w:rStyle w:val="Hiperveza"/>
                <w:rFonts w:ascii="Times New Roman" w:hAnsi="Times New Roman" w:cs="Times New Roman"/>
                <w:noProof/>
              </w:rPr>
              <w:t>Analiza stanja i potreba ljudskih potencijala</w:t>
            </w:r>
            <w:r>
              <w:rPr>
                <w:noProof/>
                <w:webHidden/>
              </w:rPr>
              <w:tab/>
            </w:r>
            <w:r>
              <w:rPr>
                <w:noProof/>
                <w:webHidden/>
              </w:rPr>
              <w:fldChar w:fldCharType="begin"/>
            </w:r>
            <w:r>
              <w:rPr>
                <w:noProof/>
                <w:webHidden/>
              </w:rPr>
              <w:instrText xml:space="preserve"> PAGEREF _Toc217040674 \h </w:instrText>
            </w:r>
            <w:r>
              <w:rPr>
                <w:noProof/>
                <w:webHidden/>
              </w:rPr>
            </w:r>
            <w:r>
              <w:rPr>
                <w:noProof/>
                <w:webHidden/>
              </w:rPr>
              <w:fldChar w:fldCharType="separate"/>
            </w:r>
            <w:r>
              <w:rPr>
                <w:noProof/>
                <w:webHidden/>
              </w:rPr>
              <w:t>39</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5" w:history="1">
            <w:r w:rsidRPr="00C504E7">
              <w:rPr>
                <w:rStyle w:val="Hiperveza"/>
                <w:rFonts w:ascii="Times New Roman" w:hAnsi="Times New Roman" w:cs="Times New Roman"/>
                <w:noProof/>
              </w:rPr>
              <w:t>3.8.1.</w:t>
            </w:r>
            <w:r>
              <w:rPr>
                <w:rFonts w:eastAsiaTheme="minorEastAsia"/>
                <w:noProof/>
                <w:sz w:val="24"/>
                <w:szCs w:val="24"/>
                <w:lang w:eastAsia="hr-HR"/>
              </w:rPr>
              <w:tab/>
            </w:r>
            <w:r w:rsidRPr="00C504E7">
              <w:rPr>
                <w:rStyle w:val="Hiperveza"/>
                <w:rFonts w:ascii="Times New Roman" w:hAnsi="Times New Roman" w:cs="Times New Roman"/>
                <w:noProof/>
              </w:rPr>
              <w:t>Istraživanje potreba poslodavaca u turizmu i ugostiteljstvu</w:t>
            </w:r>
            <w:r>
              <w:rPr>
                <w:noProof/>
                <w:webHidden/>
              </w:rPr>
              <w:tab/>
            </w:r>
            <w:r>
              <w:rPr>
                <w:noProof/>
                <w:webHidden/>
              </w:rPr>
              <w:fldChar w:fldCharType="begin"/>
            </w:r>
            <w:r>
              <w:rPr>
                <w:noProof/>
                <w:webHidden/>
              </w:rPr>
              <w:instrText xml:space="preserve"> PAGEREF _Toc217040675 \h </w:instrText>
            </w:r>
            <w:r>
              <w:rPr>
                <w:noProof/>
                <w:webHidden/>
              </w:rPr>
            </w:r>
            <w:r>
              <w:rPr>
                <w:noProof/>
                <w:webHidden/>
              </w:rPr>
              <w:fldChar w:fldCharType="separate"/>
            </w:r>
            <w:r>
              <w:rPr>
                <w:noProof/>
                <w:webHidden/>
              </w:rPr>
              <w:t>39</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6" w:history="1">
            <w:r w:rsidRPr="00C504E7">
              <w:rPr>
                <w:rStyle w:val="Hiperveza"/>
                <w:rFonts w:ascii="Times New Roman" w:hAnsi="Times New Roman" w:cs="Times New Roman"/>
                <w:noProof/>
              </w:rPr>
              <w:t>3.8.2.</w:t>
            </w:r>
            <w:r>
              <w:rPr>
                <w:rFonts w:eastAsiaTheme="minorEastAsia"/>
                <w:noProof/>
                <w:sz w:val="24"/>
                <w:szCs w:val="24"/>
                <w:lang w:eastAsia="hr-HR"/>
              </w:rPr>
              <w:tab/>
            </w:r>
            <w:r w:rsidRPr="00C504E7">
              <w:rPr>
                <w:rStyle w:val="Hiperveza"/>
                <w:rFonts w:ascii="Times New Roman" w:hAnsi="Times New Roman" w:cs="Times New Roman"/>
                <w:noProof/>
              </w:rPr>
              <w:t>Procjena sezonalnosti i utjecaja na radnu snagu</w:t>
            </w:r>
            <w:r>
              <w:rPr>
                <w:noProof/>
                <w:webHidden/>
              </w:rPr>
              <w:tab/>
            </w:r>
            <w:r>
              <w:rPr>
                <w:noProof/>
                <w:webHidden/>
              </w:rPr>
              <w:fldChar w:fldCharType="begin"/>
            </w:r>
            <w:r>
              <w:rPr>
                <w:noProof/>
                <w:webHidden/>
              </w:rPr>
              <w:instrText xml:space="preserve"> PAGEREF _Toc217040676 \h </w:instrText>
            </w:r>
            <w:r>
              <w:rPr>
                <w:noProof/>
                <w:webHidden/>
              </w:rPr>
            </w:r>
            <w:r>
              <w:rPr>
                <w:noProof/>
                <w:webHidden/>
              </w:rPr>
              <w:fldChar w:fldCharType="separate"/>
            </w:r>
            <w:r>
              <w:rPr>
                <w:noProof/>
                <w:webHidden/>
              </w:rPr>
              <w:t>39</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7" w:history="1">
            <w:r w:rsidRPr="00C504E7">
              <w:rPr>
                <w:rStyle w:val="Hiperveza"/>
                <w:rFonts w:ascii="Times New Roman" w:hAnsi="Times New Roman" w:cs="Times New Roman"/>
                <w:noProof/>
              </w:rPr>
              <w:t>3.8.3.</w:t>
            </w:r>
            <w:r>
              <w:rPr>
                <w:rFonts w:eastAsiaTheme="minorEastAsia"/>
                <w:noProof/>
                <w:sz w:val="24"/>
                <w:szCs w:val="24"/>
                <w:lang w:eastAsia="hr-HR"/>
              </w:rPr>
              <w:tab/>
            </w:r>
            <w:r w:rsidRPr="00C504E7">
              <w:rPr>
                <w:rStyle w:val="Hiperveza"/>
                <w:rFonts w:ascii="Times New Roman" w:hAnsi="Times New Roman" w:cs="Times New Roman"/>
                <w:noProof/>
              </w:rPr>
              <w:t>Potrebe za razvojem radne snage i obrazovnih programa</w:t>
            </w:r>
            <w:r>
              <w:rPr>
                <w:noProof/>
                <w:webHidden/>
              </w:rPr>
              <w:tab/>
            </w:r>
            <w:r>
              <w:rPr>
                <w:noProof/>
                <w:webHidden/>
              </w:rPr>
              <w:fldChar w:fldCharType="begin"/>
            </w:r>
            <w:r>
              <w:rPr>
                <w:noProof/>
                <w:webHidden/>
              </w:rPr>
              <w:instrText xml:space="preserve"> PAGEREF _Toc217040677 \h </w:instrText>
            </w:r>
            <w:r>
              <w:rPr>
                <w:noProof/>
                <w:webHidden/>
              </w:rPr>
            </w:r>
            <w:r>
              <w:rPr>
                <w:noProof/>
                <w:webHidden/>
              </w:rPr>
              <w:fldChar w:fldCharType="separate"/>
            </w:r>
            <w:r>
              <w:rPr>
                <w:noProof/>
                <w:webHidden/>
              </w:rPr>
              <w:t>39</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8" w:history="1">
            <w:r w:rsidRPr="00C504E7">
              <w:rPr>
                <w:rStyle w:val="Hiperveza"/>
                <w:rFonts w:ascii="Times New Roman" w:hAnsi="Times New Roman" w:cs="Times New Roman"/>
                <w:noProof/>
              </w:rPr>
              <w:t>3.8.4.</w:t>
            </w:r>
            <w:r>
              <w:rPr>
                <w:rFonts w:eastAsiaTheme="minorEastAsia"/>
                <w:noProof/>
                <w:sz w:val="24"/>
                <w:szCs w:val="24"/>
                <w:lang w:eastAsia="hr-HR"/>
              </w:rPr>
              <w:tab/>
            </w:r>
            <w:r w:rsidRPr="00C504E7">
              <w:rPr>
                <w:rStyle w:val="Hiperveza"/>
                <w:rFonts w:ascii="Times New Roman" w:hAnsi="Times New Roman" w:cs="Times New Roman"/>
                <w:noProof/>
              </w:rPr>
              <w:t>Mjere za privlačenje i zadržavanje kadra</w:t>
            </w:r>
            <w:r>
              <w:rPr>
                <w:noProof/>
                <w:webHidden/>
              </w:rPr>
              <w:tab/>
            </w:r>
            <w:r>
              <w:rPr>
                <w:noProof/>
                <w:webHidden/>
              </w:rPr>
              <w:fldChar w:fldCharType="begin"/>
            </w:r>
            <w:r>
              <w:rPr>
                <w:noProof/>
                <w:webHidden/>
              </w:rPr>
              <w:instrText xml:space="preserve"> PAGEREF _Toc217040678 \h </w:instrText>
            </w:r>
            <w:r>
              <w:rPr>
                <w:noProof/>
                <w:webHidden/>
              </w:rPr>
            </w:r>
            <w:r>
              <w:rPr>
                <w:noProof/>
                <w:webHidden/>
              </w:rPr>
              <w:fldChar w:fldCharType="separate"/>
            </w:r>
            <w:r>
              <w:rPr>
                <w:noProof/>
                <w:webHidden/>
              </w:rPr>
              <w:t>39</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79" w:history="1">
            <w:r w:rsidRPr="00C504E7">
              <w:rPr>
                <w:rStyle w:val="Hiperveza"/>
                <w:rFonts w:ascii="Times New Roman" w:hAnsi="Times New Roman" w:cs="Times New Roman"/>
                <w:noProof/>
              </w:rPr>
              <w:t>3.8.5.</w:t>
            </w:r>
            <w:r>
              <w:rPr>
                <w:rFonts w:eastAsiaTheme="minorEastAsia"/>
                <w:noProof/>
                <w:sz w:val="24"/>
                <w:szCs w:val="24"/>
                <w:lang w:eastAsia="hr-HR"/>
              </w:rPr>
              <w:tab/>
            </w:r>
            <w:r w:rsidRPr="00C504E7">
              <w:rPr>
                <w:rStyle w:val="Hiperveza"/>
                <w:rFonts w:ascii="Times New Roman" w:hAnsi="Times New Roman" w:cs="Times New Roman"/>
                <w:noProof/>
              </w:rPr>
              <w:t>Analiza kadrova u turističkim zajednicama</w:t>
            </w:r>
            <w:r>
              <w:rPr>
                <w:noProof/>
                <w:webHidden/>
              </w:rPr>
              <w:tab/>
            </w:r>
            <w:r>
              <w:rPr>
                <w:noProof/>
                <w:webHidden/>
              </w:rPr>
              <w:fldChar w:fldCharType="begin"/>
            </w:r>
            <w:r>
              <w:rPr>
                <w:noProof/>
                <w:webHidden/>
              </w:rPr>
              <w:instrText xml:space="preserve"> PAGEREF _Toc217040679 \h </w:instrText>
            </w:r>
            <w:r>
              <w:rPr>
                <w:noProof/>
                <w:webHidden/>
              </w:rPr>
            </w:r>
            <w:r>
              <w:rPr>
                <w:noProof/>
                <w:webHidden/>
              </w:rPr>
              <w:fldChar w:fldCharType="separate"/>
            </w:r>
            <w:r>
              <w:rPr>
                <w:noProof/>
                <w:webHidden/>
              </w:rPr>
              <w:t>40</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80" w:history="1">
            <w:r w:rsidRPr="00C504E7">
              <w:rPr>
                <w:rStyle w:val="Hiperveza"/>
                <w:rFonts w:ascii="Times New Roman" w:hAnsi="Times New Roman" w:cs="Times New Roman"/>
                <w:noProof/>
              </w:rPr>
              <w:t>3.9.</w:t>
            </w:r>
            <w:r>
              <w:rPr>
                <w:rFonts w:eastAsiaTheme="minorEastAsia"/>
                <w:noProof/>
                <w:sz w:val="24"/>
                <w:szCs w:val="24"/>
                <w:lang w:eastAsia="hr-HR"/>
              </w:rPr>
              <w:tab/>
            </w:r>
            <w:r w:rsidRPr="00C504E7">
              <w:rPr>
                <w:rStyle w:val="Hiperveza"/>
                <w:rFonts w:ascii="Times New Roman" w:hAnsi="Times New Roman" w:cs="Times New Roman"/>
                <w:noProof/>
              </w:rPr>
              <w:t>Analiza komunikacijskih aktivnosti</w:t>
            </w:r>
            <w:r>
              <w:rPr>
                <w:noProof/>
                <w:webHidden/>
              </w:rPr>
              <w:tab/>
            </w:r>
            <w:r>
              <w:rPr>
                <w:noProof/>
                <w:webHidden/>
              </w:rPr>
              <w:fldChar w:fldCharType="begin"/>
            </w:r>
            <w:r>
              <w:rPr>
                <w:noProof/>
                <w:webHidden/>
              </w:rPr>
              <w:instrText xml:space="preserve"> PAGEREF _Toc217040680 \h </w:instrText>
            </w:r>
            <w:r>
              <w:rPr>
                <w:noProof/>
                <w:webHidden/>
              </w:rPr>
            </w:r>
            <w:r>
              <w:rPr>
                <w:noProof/>
                <w:webHidden/>
              </w:rPr>
              <w:fldChar w:fldCharType="separate"/>
            </w:r>
            <w:r>
              <w:rPr>
                <w:noProof/>
                <w:webHidden/>
              </w:rPr>
              <w:t>40</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81" w:history="1">
            <w:r w:rsidRPr="00C504E7">
              <w:rPr>
                <w:rStyle w:val="Hiperveza"/>
                <w:rFonts w:ascii="Times New Roman" w:hAnsi="Times New Roman" w:cs="Times New Roman"/>
                <w:noProof/>
              </w:rPr>
              <w:t>3.9.1.</w:t>
            </w:r>
            <w:r>
              <w:rPr>
                <w:rFonts w:eastAsiaTheme="minorEastAsia"/>
                <w:noProof/>
                <w:sz w:val="24"/>
                <w:szCs w:val="24"/>
                <w:lang w:eastAsia="hr-HR"/>
              </w:rPr>
              <w:tab/>
            </w:r>
            <w:r w:rsidRPr="00C504E7">
              <w:rPr>
                <w:rStyle w:val="Hiperveza"/>
                <w:rFonts w:ascii="Times New Roman" w:hAnsi="Times New Roman" w:cs="Times New Roman"/>
                <w:noProof/>
              </w:rPr>
              <w:t>Korištenje komunikacijskih kanala</w:t>
            </w:r>
            <w:r>
              <w:rPr>
                <w:noProof/>
                <w:webHidden/>
              </w:rPr>
              <w:tab/>
            </w:r>
            <w:r>
              <w:rPr>
                <w:noProof/>
                <w:webHidden/>
              </w:rPr>
              <w:fldChar w:fldCharType="begin"/>
            </w:r>
            <w:r>
              <w:rPr>
                <w:noProof/>
                <w:webHidden/>
              </w:rPr>
              <w:instrText xml:space="preserve"> PAGEREF _Toc217040681 \h </w:instrText>
            </w:r>
            <w:r>
              <w:rPr>
                <w:noProof/>
                <w:webHidden/>
              </w:rPr>
            </w:r>
            <w:r>
              <w:rPr>
                <w:noProof/>
                <w:webHidden/>
              </w:rPr>
              <w:fldChar w:fldCharType="separate"/>
            </w:r>
            <w:r>
              <w:rPr>
                <w:noProof/>
                <w:webHidden/>
              </w:rPr>
              <w:t>41</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82" w:history="1">
            <w:r w:rsidRPr="00C504E7">
              <w:rPr>
                <w:rStyle w:val="Hiperveza"/>
                <w:rFonts w:ascii="Times New Roman" w:hAnsi="Times New Roman" w:cs="Times New Roman"/>
                <w:noProof/>
              </w:rPr>
              <w:t>3.9.2.</w:t>
            </w:r>
            <w:r>
              <w:rPr>
                <w:rFonts w:eastAsiaTheme="minorEastAsia"/>
                <w:noProof/>
                <w:sz w:val="24"/>
                <w:szCs w:val="24"/>
                <w:lang w:eastAsia="hr-HR"/>
              </w:rPr>
              <w:tab/>
            </w:r>
            <w:r w:rsidRPr="00C504E7">
              <w:rPr>
                <w:rStyle w:val="Hiperveza"/>
                <w:rFonts w:ascii="Times New Roman" w:hAnsi="Times New Roman" w:cs="Times New Roman"/>
                <w:noProof/>
              </w:rPr>
              <w:t>Digitalno prisustvo</w:t>
            </w:r>
            <w:r>
              <w:rPr>
                <w:noProof/>
                <w:webHidden/>
              </w:rPr>
              <w:tab/>
            </w:r>
            <w:r>
              <w:rPr>
                <w:noProof/>
                <w:webHidden/>
              </w:rPr>
              <w:fldChar w:fldCharType="begin"/>
            </w:r>
            <w:r>
              <w:rPr>
                <w:noProof/>
                <w:webHidden/>
              </w:rPr>
              <w:instrText xml:space="preserve"> PAGEREF _Toc217040682 \h </w:instrText>
            </w:r>
            <w:r>
              <w:rPr>
                <w:noProof/>
                <w:webHidden/>
              </w:rPr>
            </w:r>
            <w:r>
              <w:rPr>
                <w:noProof/>
                <w:webHidden/>
              </w:rPr>
              <w:fldChar w:fldCharType="separate"/>
            </w:r>
            <w:r>
              <w:rPr>
                <w:noProof/>
                <w:webHidden/>
              </w:rPr>
              <w:t>41</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83" w:history="1">
            <w:r w:rsidRPr="00C504E7">
              <w:rPr>
                <w:rStyle w:val="Hiperveza"/>
                <w:rFonts w:ascii="Times New Roman" w:hAnsi="Times New Roman" w:cs="Times New Roman"/>
                <w:noProof/>
              </w:rPr>
              <w:t>3.9.3.</w:t>
            </w:r>
            <w:r>
              <w:rPr>
                <w:rFonts w:eastAsiaTheme="minorEastAsia"/>
                <w:noProof/>
                <w:sz w:val="24"/>
                <w:szCs w:val="24"/>
                <w:lang w:eastAsia="hr-HR"/>
              </w:rPr>
              <w:tab/>
            </w:r>
            <w:r w:rsidRPr="00C504E7">
              <w:rPr>
                <w:rStyle w:val="Hiperveza"/>
                <w:rFonts w:ascii="Times New Roman" w:hAnsi="Times New Roman" w:cs="Times New Roman"/>
                <w:noProof/>
              </w:rPr>
              <w:t>Offline promotivne aktivnosti</w:t>
            </w:r>
            <w:r>
              <w:rPr>
                <w:noProof/>
                <w:webHidden/>
              </w:rPr>
              <w:tab/>
            </w:r>
            <w:r>
              <w:rPr>
                <w:noProof/>
                <w:webHidden/>
              </w:rPr>
              <w:fldChar w:fldCharType="begin"/>
            </w:r>
            <w:r>
              <w:rPr>
                <w:noProof/>
                <w:webHidden/>
              </w:rPr>
              <w:instrText xml:space="preserve"> PAGEREF _Toc217040683 \h </w:instrText>
            </w:r>
            <w:r>
              <w:rPr>
                <w:noProof/>
                <w:webHidden/>
              </w:rPr>
            </w:r>
            <w:r>
              <w:rPr>
                <w:noProof/>
                <w:webHidden/>
              </w:rPr>
              <w:fldChar w:fldCharType="separate"/>
            </w:r>
            <w:r>
              <w:rPr>
                <w:noProof/>
                <w:webHidden/>
              </w:rPr>
              <w:t>41</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84" w:history="1">
            <w:r w:rsidRPr="00C504E7">
              <w:rPr>
                <w:rStyle w:val="Hiperveza"/>
                <w:rFonts w:ascii="Times New Roman" w:hAnsi="Times New Roman" w:cs="Times New Roman"/>
                <w:noProof/>
              </w:rPr>
              <w:t>3.9.4.</w:t>
            </w:r>
            <w:r>
              <w:rPr>
                <w:rFonts w:eastAsiaTheme="minorEastAsia"/>
                <w:noProof/>
                <w:sz w:val="24"/>
                <w:szCs w:val="24"/>
                <w:lang w:eastAsia="hr-HR"/>
              </w:rPr>
              <w:tab/>
            </w:r>
            <w:r w:rsidRPr="00C504E7">
              <w:rPr>
                <w:rStyle w:val="Hiperveza"/>
                <w:rFonts w:ascii="Times New Roman" w:hAnsi="Times New Roman" w:cs="Times New Roman"/>
                <w:noProof/>
              </w:rPr>
              <w:t>Suradnje s trećim stranama</w:t>
            </w:r>
            <w:r>
              <w:rPr>
                <w:noProof/>
                <w:webHidden/>
              </w:rPr>
              <w:tab/>
            </w:r>
            <w:r>
              <w:rPr>
                <w:noProof/>
                <w:webHidden/>
              </w:rPr>
              <w:fldChar w:fldCharType="begin"/>
            </w:r>
            <w:r>
              <w:rPr>
                <w:noProof/>
                <w:webHidden/>
              </w:rPr>
              <w:instrText xml:space="preserve"> PAGEREF _Toc217040684 \h </w:instrText>
            </w:r>
            <w:r>
              <w:rPr>
                <w:noProof/>
                <w:webHidden/>
              </w:rPr>
            </w:r>
            <w:r>
              <w:rPr>
                <w:noProof/>
                <w:webHidden/>
              </w:rPr>
              <w:fldChar w:fldCharType="separate"/>
            </w:r>
            <w:r>
              <w:rPr>
                <w:noProof/>
                <w:webHidden/>
              </w:rPr>
              <w:t>41</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85" w:history="1">
            <w:r w:rsidRPr="00C504E7">
              <w:rPr>
                <w:rStyle w:val="Hiperveza"/>
                <w:rFonts w:ascii="Times New Roman" w:hAnsi="Times New Roman" w:cs="Times New Roman"/>
                <w:noProof/>
              </w:rPr>
              <w:t>3.9.5.</w:t>
            </w:r>
            <w:r>
              <w:rPr>
                <w:rFonts w:eastAsiaTheme="minorEastAsia"/>
                <w:noProof/>
                <w:sz w:val="24"/>
                <w:szCs w:val="24"/>
                <w:lang w:eastAsia="hr-HR"/>
              </w:rPr>
              <w:tab/>
            </w:r>
            <w:r w:rsidRPr="00C504E7">
              <w:rPr>
                <w:rStyle w:val="Hiperveza"/>
                <w:rFonts w:ascii="Times New Roman" w:hAnsi="Times New Roman" w:cs="Times New Roman"/>
                <w:noProof/>
              </w:rPr>
              <w:t>Prikupljanje i distribucija informacija</w:t>
            </w:r>
            <w:r>
              <w:rPr>
                <w:noProof/>
                <w:webHidden/>
              </w:rPr>
              <w:tab/>
            </w:r>
            <w:r>
              <w:rPr>
                <w:noProof/>
                <w:webHidden/>
              </w:rPr>
              <w:fldChar w:fldCharType="begin"/>
            </w:r>
            <w:r>
              <w:rPr>
                <w:noProof/>
                <w:webHidden/>
              </w:rPr>
              <w:instrText xml:space="preserve"> PAGEREF _Toc217040685 \h </w:instrText>
            </w:r>
            <w:r>
              <w:rPr>
                <w:noProof/>
                <w:webHidden/>
              </w:rPr>
            </w:r>
            <w:r>
              <w:rPr>
                <w:noProof/>
                <w:webHidden/>
              </w:rPr>
              <w:fldChar w:fldCharType="separate"/>
            </w:r>
            <w:r>
              <w:rPr>
                <w:noProof/>
                <w:webHidden/>
              </w:rPr>
              <w:t>41</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686" w:history="1">
            <w:r w:rsidRPr="00C504E7">
              <w:rPr>
                <w:rStyle w:val="Hiperveza"/>
                <w:rFonts w:ascii="Times New Roman" w:hAnsi="Times New Roman" w:cs="Times New Roman"/>
                <w:noProof/>
              </w:rPr>
              <w:t>3.9.6.</w:t>
            </w:r>
            <w:r>
              <w:rPr>
                <w:rFonts w:eastAsiaTheme="minorEastAsia"/>
                <w:noProof/>
                <w:sz w:val="24"/>
                <w:szCs w:val="24"/>
                <w:lang w:eastAsia="hr-HR"/>
              </w:rPr>
              <w:tab/>
            </w:r>
            <w:r w:rsidRPr="00C504E7">
              <w:rPr>
                <w:rStyle w:val="Hiperveza"/>
                <w:rFonts w:ascii="Times New Roman" w:hAnsi="Times New Roman" w:cs="Times New Roman"/>
                <w:noProof/>
              </w:rPr>
              <w:t>Pozicioniranje na regionalnoj i nacionalnoj razini</w:t>
            </w:r>
            <w:r>
              <w:rPr>
                <w:noProof/>
                <w:webHidden/>
              </w:rPr>
              <w:tab/>
            </w:r>
            <w:r>
              <w:rPr>
                <w:noProof/>
                <w:webHidden/>
              </w:rPr>
              <w:fldChar w:fldCharType="begin"/>
            </w:r>
            <w:r>
              <w:rPr>
                <w:noProof/>
                <w:webHidden/>
              </w:rPr>
              <w:instrText xml:space="preserve"> PAGEREF _Toc217040686 \h </w:instrText>
            </w:r>
            <w:r>
              <w:rPr>
                <w:noProof/>
                <w:webHidden/>
              </w:rPr>
            </w:r>
            <w:r>
              <w:rPr>
                <w:noProof/>
                <w:webHidden/>
              </w:rPr>
              <w:fldChar w:fldCharType="separate"/>
            </w:r>
            <w:r>
              <w:rPr>
                <w:noProof/>
                <w:webHidden/>
              </w:rPr>
              <w:t>42</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87" w:history="1">
            <w:r w:rsidRPr="00C504E7">
              <w:rPr>
                <w:rStyle w:val="Hiperveza"/>
                <w:rFonts w:ascii="Times New Roman" w:hAnsi="Times New Roman" w:cs="Times New Roman"/>
                <w:noProof/>
              </w:rPr>
              <w:t>3.10.</w:t>
            </w:r>
            <w:r>
              <w:rPr>
                <w:rFonts w:eastAsiaTheme="minorEastAsia"/>
                <w:noProof/>
                <w:sz w:val="24"/>
                <w:szCs w:val="24"/>
                <w:lang w:eastAsia="hr-HR"/>
              </w:rPr>
              <w:tab/>
            </w:r>
            <w:r w:rsidRPr="00C504E7">
              <w:rPr>
                <w:rStyle w:val="Hiperveza"/>
                <w:rFonts w:ascii="Times New Roman" w:hAnsi="Times New Roman" w:cs="Times New Roman"/>
                <w:noProof/>
              </w:rPr>
              <w:t>Analiza konkurencije</w:t>
            </w:r>
            <w:r>
              <w:rPr>
                <w:noProof/>
                <w:webHidden/>
              </w:rPr>
              <w:tab/>
            </w:r>
            <w:r>
              <w:rPr>
                <w:noProof/>
                <w:webHidden/>
              </w:rPr>
              <w:fldChar w:fldCharType="begin"/>
            </w:r>
            <w:r>
              <w:rPr>
                <w:noProof/>
                <w:webHidden/>
              </w:rPr>
              <w:instrText xml:space="preserve"> PAGEREF _Toc217040687 \h </w:instrText>
            </w:r>
            <w:r>
              <w:rPr>
                <w:noProof/>
                <w:webHidden/>
              </w:rPr>
            </w:r>
            <w:r>
              <w:rPr>
                <w:noProof/>
                <w:webHidden/>
              </w:rPr>
              <w:fldChar w:fldCharType="separate"/>
            </w:r>
            <w:r>
              <w:rPr>
                <w:noProof/>
                <w:webHidden/>
              </w:rPr>
              <w:t>42</w:t>
            </w:r>
            <w:r>
              <w:rPr>
                <w:noProof/>
                <w:webHidden/>
              </w:rPr>
              <w:fldChar w:fldCharType="end"/>
            </w:r>
          </w:hyperlink>
        </w:p>
        <w:p w:rsidR="002D0BA4" w:rsidRDefault="002D0BA4">
          <w:pPr>
            <w:pStyle w:val="Sadraj3"/>
            <w:tabs>
              <w:tab w:val="left" w:pos="1440"/>
              <w:tab w:val="right" w:leader="dot" w:pos="9062"/>
            </w:tabs>
            <w:rPr>
              <w:rFonts w:eastAsiaTheme="minorEastAsia"/>
              <w:noProof/>
              <w:sz w:val="24"/>
              <w:szCs w:val="24"/>
              <w:lang w:eastAsia="hr-HR"/>
            </w:rPr>
          </w:pPr>
          <w:hyperlink w:anchor="_Toc217040688" w:history="1">
            <w:r w:rsidRPr="00C504E7">
              <w:rPr>
                <w:rStyle w:val="Hiperveza"/>
                <w:rFonts w:ascii="Times New Roman" w:hAnsi="Times New Roman" w:cs="Times New Roman"/>
                <w:noProof/>
              </w:rPr>
              <w:t>3.10.1.</w:t>
            </w:r>
            <w:r>
              <w:rPr>
                <w:rFonts w:eastAsiaTheme="minorEastAsia"/>
                <w:noProof/>
                <w:sz w:val="24"/>
                <w:szCs w:val="24"/>
                <w:lang w:eastAsia="hr-HR"/>
              </w:rPr>
              <w:tab/>
            </w:r>
            <w:r w:rsidRPr="00C504E7">
              <w:rPr>
                <w:rStyle w:val="Hiperveza"/>
                <w:rFonts w:ascii="Times New Roman" w:hAnsi="Times New Roman" w:cs="Times New Roman"/>
                <w:noProof/>
              </w:rPr>
              <w:t>Identifikacija konkurentskih destinacija</w:t>
            </w:r>
            <w:r>
              <w:rPr>
                <w:noProof/>
                <w:webHidden/>
              </w:rPr>
              <w:tab/>
            </w:r>
            <w:r>
              <w:rPr>
                <w:noProof/>
                <w:webHidden/>
              </w:rPr>
              <w:fldChar w:fldCharType="begin"/>
            </w:r>
            <w:r>
              <w:rPr>
                <w:noProof/>
                <w:webHidden/>
              </w:rPr>
              <w:instrText xml:space="preserve"> PAGEREF _Toc217040688 \h </w:instrText>
            </w:r>
            <w:r>
              <w:rPr>
                <w:noProof/>
                <w:webHidden/>
              </w:rPr>
            </w:r>
            <w:r>
              <w:rPr>
                <w:noProof/>
                <w:webHidden/>
              </w:rPr>
              <w:fldChar w:fldCharType="separate"/>
            </w:r>
            <w:r>
              <w:rPr>
                <w:noProof/>
                <w:webHidden/>
              </w:rPr>
              <w:t>42</w:t>
            </w:r>
            <w:r>
              <w:rPr>
                <w:noProof/>
                <w:webHidden/>
              </w:rPr>
              <w:fldChar w:fldCharType="end"/>
            </w:r>
          </w:hyperlink>
        </w:p>
        <w:p w:rsidR="002D0BA4" w:rsidRDefault="002D0BA4">
          <w:pPr>
            <w:pStyle w:val="Sadraj3"/>
            <w:tabs>
              <w:tab w:val="left" w:pos="1440"/>
              <w:tab w:val="right" w:leader="dot" w:pos="9062"/>
            </w:tabs>
            <w:rPr>
              <w:rFonts w:eastAsiaTheme="minorEastAsia"/>
              <w:noProof/>
              <w:sz w:val="24"/>
              <w:szCs w:val="24"/>
              <w:lang w:eastAsia="hr-HR"/>
            </w:rPr>
          </w:pPr>
          <w:hyperlink w:anchor="_Toc217040689" w:history="1">
            <w:r w:rsidRPr="00C504E7">
              <w:rPr>
                <w:rStyle w:val="Hiperveza"/>
                <w:rFonts w:ascii="Times New Roman" w:hAnsi="Times New Roman" w:cs="Times New Roman"/>
                <w:noProof/>
              </w:rPr>
              <w:t>3.10.2.</w:t>
            </w:r>
            <w:r>
              <w:rPr>
                <w:rFonts w:eastAsiaTheme="minorEastAsia"/>
                <w:noProof/>
                <w:sz w:val="24"/>
                <w:szCs w:val="24"/>
                <w:lang w:eastAsia="hr-HR"/>
              </w:rPr>
              <w:tab/>
            </w:r>
            <w:r w:rsidRPr="00C504E7">
              <w:rPr>
                <w:rStyle w:val="Hiperveza"/>
                <w:rFonts w:ascii="Times New Roman" w:hAnsi="Times New Roman" w:cs="Times New Roman"/>
                <w:noProof/>
              </w:rPr>
              <w:t>Benchmarking – ključni pokazatelji usporedbe</w:t>
            </w:r>
            <w:r>
              <w:rPr>
                <w:noProof/>
                <w:webHidden/>
              </w:rPr>
              <w:tab/>
            </w:r>
            <w:r>
              <w:rPr>
                <w:noProof/>
                <w:webHidden/>
              </w:rPr>
              <w:fldChar w:fldCharType="begin"/>
            </w:r>
            <w:r>
              <w:rPr>
                <w:noProof/>
                <w:webHidden/>
              </w:rPr>
              <w:instrText xml:space="preserve"> PAGEREF _Toc217040689 \h </w:instrText>
            </w:r>
            <w:r>
              <w:rPr>
                <w:noProof/>
                <w:webHidden/>
              </w:rPr>
            </w:r>
            <w:r>
              <w:rPr>
                <w:noProof/>
                <w:webHidden/>
              </w:rPr>
              <w:fldChar w:fldCharType="separate"/>
            </w:r>
            <w:r>
              <w:rPr>
                <w:noProof/>
                <w:webHidden/>
              </w:rPr>
              <w:t>43</w:t>
            </w:r>
            <w:r>
              <w:rPr>
                <w:noProof/>
                <w:webHidden/>
              </w:rPr>
              <w:fldChar w:fldCharType="end"/>
            </w:r>
          </w:hyperlink>
        </w:p>
        <w:p w:rsidR="002D0BA4" w:rsidRDefault="002D0BA4">
          <w:pPr>
            <w:pStyle w:val="Sadraj3"/>
            <w:tabs>
              <w:tab w:val="left" w:pos="1440"/>
              <w:tab w:val="right" w:leader="dot" w:pos="9062"/>
            </w:tabs>
            <w:rPr>
              <w:rFonts w:eastAsiaTheme="minorEastAsia"/>
              <w:noProof/>
              <w:sz w:val="24"/>
              <w:szCs w:val="24"/>
              <w:lang w:eastAsia="hr-HR"/>
            </w:rPr>
          </w:pPr>
          <w:hyperlink w:anchor="_Toc217040690" w:history="1">
            <w:r w:rsidRPr="00C504E7">
              <w:rPr>
                <w:rStyle w:val="Hiperveza"/>
                <w:rFonts w:ascii="Times New Roman" w:hAnsi="Times New Roman" w:cs="Times New Roman"/>
                <w:noProof/>
              </w:rPr>
              <w:t>3.10.3.</w:t>
            </w:r>
            <w:r>
              <w:rPr>
                <w:rFonts w:eastAsiaTheme="minorEastAsia"/>
                <w:noProof/>
                <w:sz w:val="24"/>
                <w:szCs w:val="24"/>
                <w:lang w:eastAsia="hr-HR"/>
              </w:rPr>
              <w:tab/>
            </w:r>
            <w:r w:rsidRPr="00C504E7">
              <w:rPr>
                <w:rStyle w:val="Hiperveza"/>
                <w:rFonts w:ascii="Times New Roman" w:hAnsi="Times New Roman" w:cs="Times New Roman"/>
                <w:noProof/>
              </w:rPr>
              <w:t>Komunikacijske strategije konkurencije</w:t>
            </w:r>
            <w:r>
              <w:rPr>
                <w:noProof/>
                <w:webHidden/>
              </w:rPr>
              <w:tab/>
            </w:r>
            <w:r>
              <w:rPr>
                <w:noProof/>
                <w:webHidden/>
              </w:rPr>
              <w:fldChar w:fldCharType="begin"/>
            </w:r>
            <w:r>
              <w:rPr>
                <w:noProof/>
                <w:webHidden/>
              </w:rPr>
              <w:instrText xml:space="preserve"> PAGEREF _Toc217040690 \h </w:instrText>
            </w:r>
            <w:r>
              <w:rPr>
                <w:noProof/>
                <w:webHidden/>
              </w:rPr>
            </w:r>
            <w:r>
              <w:rPr>
                <w:noProof/>
                <w:webHidden/>
              </w:rPr>
              <w:fldChar w:fldCharType="separate"/>
            </w:r>
            <w:r>
              <w:rPr>
                <w:noProof/>
                <w:webHidden/>
              </w:rPr>
              <w:t>44</w:t>
            </w:r>
            <w:r>
              <w:rPr>
                <w:noProof/>
                <w:webHidden/>
              </w:rPr>
              <w:fldChar w:fldCharType="end"/>
            </w:r>
          </w:hyperlink>
        </w:p>
        <w:p w:rsidR="002D0BA4" w:rsidRDefault="002D0BA4">
          <w:pPr>
            <w:pStyle w:val="Sadraj3"/>
            <w:tabs>
              <w:tab w:val="left" w:pos="1440"/>
              <w:tab w:val="right" w:leader="dot" w:pos="9062"/>
            </w:tabs>
            <w:rPr>
              <w:rFonts w:eastAsiaTheme="minorEastAsia"/>
              <w:noProof/>
              <w:sz w:val="24"/>
              <w:szCs w:val="24"/>
              <w:lang w:eastAsia="hr-HR"/>
            </w:rPr>
          </w:pPr>
          <w:hyperlink w:anchor="_Toc217040691" w:history="1">
            <w:r w:rsidRPr="00C504E7">
              <w:rPr>
                <w:rStyle w:val="Hiperveza"/>
                <w:rFonts w:ascii="Times New Roman" w:hAnsi="Times New Roman" w:cs="Times New Roman"/>
                <w:noProof/>
              </w:rPr>
              <w:t>3.10.4.</w:t>
            </w:r>
            <w:r>
              <w:rPr>
                <w:rFonts w:eastAsiaTheme="minorEastAsia"/>
                <w:noProof/>
                <w:sz w:val="24"/>
                <w:szCs w:val="24"/>
                <w:lang w:eastAsia="hr-HR"/>
              </w:rPr>
              <w:tab/>
            </w:r>
            <w:r w:rsidRPr="00C504E7">
              <w:rPr>
                <w:rStyle w:val="Hiperveza"/>
                <w:rFonts w:ascii="Times New Roman" w:hAnsi="Times New Roman" w:cs="Times New Roman"/>
                <w:noProof/>
              </w:rPr>
              <w:t>Tržišni trendovi i inovacije</w:t>
            </w:r>
            <w:r>
              <w:rPr>
                <w:noProof/>
                <w:webHidden/>
              </w:rPr>
              <w:tab/>
            </w:r>
            <w:r>
              <w:rPr>
                <w:noProof/>
                <w:webHidden/>
              </w:rPr>
              <w:fldChar w:fldCharType="begin"/>
            </w:r>
            <w:r>
              <w:rPr>
                <w:noProof/>
                <w:webHidden/>
              </w:rPr>
              <w:instrText xml:space="preserve"> PAGEREF _Toc217040691 \h </w:instrText>
            </w:r>
            <w:r>
              <w:rPr>
                <w:noProof/>
                <w:webHidden/>
              </w:rPr>
            </w:r>
            <w:r>
              <w:rPr>
                <w:noProof/>
                <w:webHidden/>
              </w:rPr>
              <w:fldChar w:fldCharType="separate"/>
            </w:r>
            <w:r>
              <w:rPr>
                <w:noProof/>
                <w:webHidden/>
              </w:rPr>
              <w:t>44</w:t>
            </w:r>
            <w:r>
              <w:rPr>
                <w:noProof/>
                <w:webHidden/>
              </w:rPr>
              <w:fldChar w:fldCharType="end"/>
            </w:r>
          </w:hyperlink>
        </w:p>
        <w:p w:rsidR="002D0BA4" w:rsidRDefault="002D0BA4">
          <w:pPr>
            <w:pStyle w:val="Sadraj3"/>
            <w:tabs>
              <w:tab w:val="left" w:pos="1440"/>
              <w:tab w:val="right" w:leader="dot" w:pos="9062"/>
            </w:tabs>
            <w:rPr>
              <w:rFonts w:eastAsiaTheme="minorEastAsia"/>
              <w:noProof/>
              <w:sz w:val="24"/>
              <w:szCs w:val="24"/>
              <w:lang w:eastAsia="hr-HR"/>
            </w:rPr>
          </w:pPr>
          <w:hyperlink w:anchor="_Toc217040692" w:history="1">
            <w:r w:rsidRPr="00C504E7">
              <w:rPr>
                <w:rStyle w:val="Hiperveza"/>
                <w:rFonts w:ascii="Times New Roman" w:hAnsi="Times New Roman" w:cs="Times New Roman"/>
                <w:noProof/>
              </w:rPr>
              <w:t>3.10.5.</w:t>
            </w:r>
            <w:r>
              <w:rPr>
                <w:rFonts w:eastAsiaTheme="minorEastAsia"/>
                <w:noProof/>
                <w:sz w:val="24"/>
                <w:szCs w:val="24"/>
                <w:lang w:eastAsia="hr-HR"/>
              </w:rPr>
              <w:tab/>
            </w:r>
            <w:r w:rsidRPr="00C504E7">
              <w:rPr>
                <w:rStyle w:val="Hiperveza"/>
                <w:rFonts w:ascii="Times New Roman" w:hAnsi="Times New Roman" w:cs="Times New Roman"/>
                <w:noProof/>
              </w:rPr>
              <w:t>Turistička potražnja – profil posjetitelja</w:t>
            </w:r>
            <w:r>
              <w:rPr>
                <w:noProof/>
                <w:webHidden/>
              </w:rPr>
              <w:tab/>
            </w:r>
            <w:r>
              <w:rPr>
                <w:noProof/>
                <w:webHidden/>
              </w:rPr>
              <w:fldChar w:fldCharType="begin"/>
            </w:r>
            <w:r>
              <w:rPr>
                <w:noProof/>
                <w:webHidden/>
              </w:rPr>
              <w:instrText xml:space="preserve"> PAGEREF _Toc217040692 \h </w:instrText>
            </w:r>
            <w:r>
              <w:rPr>
                <w:noProof/>
                <w:webHidden/>
              </w:rPr>
            </w:r>
            <w:r>
              <w:rPr>
                <w:noProof/>
                <w:webHidden/>
              </w:rPr>
              <w:fldChar w:fldCharType="separate"/>
            </w:r>
            <w:r>
              <w:rPr>
                <w:noProof/>
                <w:webHidden/>
              </w:rPr>
              <w:t>44</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93" w:history="1">
            <w:r w:rsidRPr="00C504E7">
              <w:rPr>
                <w:rStyle w:val="Hiperveza"/>
                <w:rFonts w:ascii="Times New Roman" w:hAnsi="Times New Roman" w:cs="Times New Roman"/>
                <w:noProof/>
              </w:rPr>
              <w:t>3.11.</w:t>
            </w:r>
            <w:r>
              <w:rPr>
                <w:rFonts w:eastAsiaTheme="minorEastAsia"/>
                <w:noProof/>
                <w:sz w:val="24"/>
                <w:szCs w:val="24"/>
                <w:lang w:eastAsia="hr-HR"/>
              </w:rPr>
              <w:tab/>
            </w:r>
            <w:r w:rsidRPr="00C504E7">
              <w:rPr>
                <w:rStyle w:val="Hiperveza"/>
                <w:rFonts w:ascii="Times New Roman" w:hAnsi="Times New Roman" w:cs="Times New Roman"/>
                <w:noProof/>
              </w:rPr>
              <w:t>Izvješće o provedenoj analizi stanja</w:t>
            </w:r>
            <w:r>
              <w:rPr>
                <w:noProof/>
                <w:webHidden/>
              </w:rPr>
              <w:tab/>
            </w:r>
            <w:r>
              <w:rPr>
                <w:noProof/>
                <w:webHidden/>
              </w:rPr>
              <w:fldChar w:fldCharType="begin"/>
            </w:r>
            <w:r>
              <w:rPr>
                <w:noProof/>
                <w:webHidden/>
              </w:rPr>
              <w:instrText xml:space="preserve"> PAGEREF _Toc217040693 \h </w:instrText>
            </w:r>
            <w:r>
              <w:rPr>
                <w:noProof/>
                <w:webHidden/>
              </w:rPr>
            </w:r>
            <w:r>
              <w:rPr>
                <w:noProof/>
                <w:webHidden/>
              </w:rPr>
              <w:fldChar w:fldCharType="separate"/>
            </w:r>
            <w:r>
              <w:rPr>
                <w:noProof/>
                <w:webHidden/>
              </w:rPr>
              <w:t>44</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694" w:history="1">
            <w:r w:rsidRPr="00C504E7">
              <w:rPr>
                <w:rStyle w:val="Hiperveza"/>
                <w:rFonts w:ascii="Times New Roman" w:hAnsi="Times New Roman" w:cs="Times New Roman"/>
                <w:b/>
                <w:bCs/>
                <w:noProof/>
              </w:rPr>
              <w:t>4.</w:t>
            </w:r>
            <w:r>
              <w:rPr>
                <w:rFonts w:eastAsiaTheme="minorEastAsia"/>
                <w:noProof/>
                <w:sz w:val="24"/>
                <w:szCs w:val="24"/>
                <w:lang w:eastAsia="hr-HR"/>
              </w:rPr>
              <w:tab/>
            </w:r>
            <w:r w:rsidRPr="00C504E7">
              <w:rPr>
                <w:rStyle w:val="Hiperveza"/>
                <w:rFonts w:ascii="Times New Roman" w:hAnsi="Times New Roman" w:cs="Times New Roman"/>
                <w:b/>
                <w:bCs/>
                <w:noProof/>
              </w:rPr>
              <w:t>POTENCIJAL ZA RAZVOJ I PODIZANJE KVALITETE TURISTIČKIH PROIZVODA</w:t>
            </w:r>
            <w:r>
              <w:rPr>
                <w:noProof/>
                <w:webHidden/>
              </w:rPr>
              <w:tab/>
            </w:r>
            <w:r>
              <w:rPr>
                <w:noProof/>
                <w:webHidden/>
              </w:rPr>
              <w:fldChar w:fldCharType="begin"/>
            </w:r>
            <w:r>
              <w:rPr>
                <w:noProof/>
                <w:webHidden/>
              </w:rPr>
              <w:instrText xml:space="preserve"> PAGEREF _Toc217040694 \h </w:instrText>
            </w:r>
            <w:r>
              <w:rPr>
                <w:noProof/>
                <w:webHidden/>
              </w:rPr>
            </w:r>
            <w:r>
              <w:rPr>
                <w:noProof/>
                <w:webHidden/>
              </w:rPr>
              <w:fldChar w:fldCharType="separate"/>
            </w:r>
            <w:r>
              <w:rPr>
                <w:noProof/>
                <w:webHidden/>
              </w:rPr>
              <w:t>46</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695" w:history="1">
            <w:r w:rsidRPr="00C504E7">
              <w:rPr>
                <w:rStyle w:val="Hiperveza"/>
                <w:rFonts w:ascii="Times New Roman" w:hAnsi="Times New Roman" w:cs="Times New Roman"/>
                <w:b/>
                <w:bCs/>
                <w:noProof/>
              </w:rPr>
              <w:t>5.</w:t>
            </w:r>
            <w:r>
              <w:rPr>
                <w:rFonts w:eastAsiaTheme="minorEastAsia"/>
                <w:noProof/>
                <w:sz w:val="24"/>
                <w:szCs w:val="24"/>
                <w:lang w:eastAsia="hr-HR"/>
              </w:rPr>
              <w:tab/>
            </w:r>
            <w:r w:rsidRPr="00C504E7">
              <w:rPr>
                <w:rStyle w:val="Hiperveza"/>
                <w:rFonts w:ascii="Times New Roman" w:hAnsi="Times New Roman" w:cs="Times New Roman"/>
                <w:b/>
                <w:bCs/>
                <w:noProof/>
              </w:rPr>
              <w:t>POKAZATELJI ODRŽIVOSTI NA RAZINI DESTINACIJE</w:t>
            </w:r>
            <w:r>
              <w:rPr>
                <w:noProof/>
                <w:webHidden/>
              </w:rPr>
              <w:tab/>
            </w:r>
            <w:r>
              <w:rPr>
                <w:noProof/>
                <w:webHidden/>
              </w:rPr>
              <w:fldChar w:fldCharType="begin"/>
            </w:r>
            <w:r>
              <w:rPr>
                <w:noProof/>
                <w:webHidden/>
              </w:rPr>
              <w:instrText xml:space="preserve"> PAGEREF _Toc217040695 \h </w:instrText>
            </w:r>
            <w:r>
              <w:rPr>
                <w:noProof/>
                <w:webHidden/>
              </w:rPr>
            </w:r>
            <w:r>
              <w:rPr>
                <w:noProof/>
                <w:webHidden/>
              </w:rPr>
              <w:fldChar w:fldCharType="separate"/>
            </w:r>
            <w:r>
              <w:rPr>
                <w:noProof/>
                <w:webHidden/>
              </w:rPr>
              <w:t>48</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96" w:history="1">
            <w:r w:rsidRPr="00C504E7">
              <w:rPr>
                <w:rStyle w:val="Hiperveza"/>
                <w:rFonts w:ascii="Times New Roman" w:hAnsi="Times New Roman" w:cs="Times New Roman"/>
                <w:noProof/>
              </w:rPr>
              <w:t>5.1.</w:t>
            </w:r>
            <w:r>
              <w:rPr>
                <w:rFonts w:eastAsiaTheme="minorEastAsia"/>
                <w:noProof/>
                <w:sz w:val="24"/>
                <w:szCs w:val="24"/>
                <w:lang w:eastAsia="hr-HR"/>
              </w:rPr>
              <w:tab/>
            </w:r>
            <w:r w:rsidRPr="00C504E7">
              <w:rPr>
                <w:rStyle w:val="Hiperveza"/>
                <w:rFonts w:ascii="Times New Roman" w:hAnsi="Times New Roman" w:cs="Times New Roman"/>
                <w:noProof/>
              </w:rPr>
              <w:t>Izvori podataka:</w:t>
            </w:r>
            <w:r>
              <w:rPr>
                <w:noProof/>
                <w:webHidden/>
              </w:rPr>
              <w:tab/>
            </w:r>
            <w:r>
              <w:rPr>
                <w:noProof/>
                <w:webHidden/>
              </w:rPr>
              <w:fldChar w:fldCharType="begin"/>
            </w:r>
            <w:r>
              <w:rPr>
                <w:noProof/>
                <w:webHidden/>
              </w:rPr>
              <w:instrText xml:space="preserve"> PAGEREF _Toc217040696 \h </w:instrText>
            </w:r>
            <w:r>
              <w:rPr>
                <w:noProof/>
                <w:webHidden/>
              </w:rPr>
            </w:r>
            <w:r>
              <w:rPr>
                <w:noProof/>
                <w:webHidden/>
              </w:rPr>
              <w:fldChar w:fldCharType="separate"/>
            </w:r>
            <w:r>
              <w:rPr>
                <w:noProof/>
                <w:webHidden/>
              </w:rPr>
              <w:t>48</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97" w:history="1">
            <w:r w:rsidRPr="00C504E7">
              <w:rPr>
                <w:rStyle w:val="Hiperveza"/>
                <w:rFonts w:ascii="Times New Roman" w:hAnsi="Times New Roman" w:cs="Times New Roman"/>
                <w:noProof/>
              </w:rPr>
              <w:t>5.2.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Popis i metodološka tablica obveznih pokazatelja održivosti</w:t>
            </w:r>
            <w:r>
              <w:rPr>
                <w:noProof/>
                <w:webHidden/>
              </w:rPr>
              <w:tab/>
            </w:r>
            <w:r>
              <w:rPr>
                <w:noProof/>
                <w:webHidden/>
              </w:rPr>
              <w:fldChar w:fldCharType="begin"/>
            </w:r>
            <w:r>
              <w:rPr>
                <w:noProof/>
                <w:webHidden/>
              </w:rPr>
              <w:instrText xml:space="preserve"> PAGEREF _Toc217040697 \h </w:instrText>
            </w:r>
            <w:r>
              <w:rPr>
                <w:noProof/>
                <w:webHidden/>
              </w:rPr>
            </w:r>
            <w:r>
              <w:rPr>
                <w:noProof/>
                <w:webHidden/>
              </w:rPr>
              <w:fldChar w:fldCharType="separate"/>
            </w:r>
            <w:r>
              <w:rPr>
                <w:noProof/>
                <w:webHidden/>
              </w:rPr>
              <w:t>48</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698" w:history="1">
            <w:r w:rsidRPr="00C504E7">
              <w:rPr>
                <w:rStyle w:val="Hiperveza"/>
                <w:rFonts w:ascii="Times New Roman" w:eastAsia="Times New Roman" w:hAnsi="Times New Roman" w:cs="Times New Roman"/>
                <w:noProof/>
                <w:lang w:eastAsia="hr-HR"/>
              </w:rPr>
              <w:t>5.3.</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Popis i metodološka tablica specifičnih pokazatelja održivosti</w:t>
            </w:r>
            <w:r>
              <w:rPr>
                <w:noProof/>
                <w:webHidden/>
              </w:rPr>
              <w:tab/>
            </w:r>
            <w:r>
              <w:rPr>
                <w:noProof/>
                <w:webHidden/>
              </w:rPr>
              <w:fldChar w:fldCharType="begin"/>
            </w:r>
            <w:r>
              <w:rPr>
                <w:noProof/>
                <w:webHidden/>
              </w:rPr>
              <w:instrText xml:space="preserve"> PAGEREF _Toc217040698 \h </w:instrText>
            </w:r>
            <w:r>
              <w:rPr>
                <w:noProof/>
                <w:webHidden/>
              </w:rPr>
            </w:r>
            <w:r>
              <w:rPr>
                <w:noProof/>
                <w:webHidden/>
              </w:rPr>
              <w:fldChar w:fldCharType="separate"/>
            </w:r>
            <w:r>
              <w:rPr>
                <w:noProof/>
                <w:webHidden/>
              </w:rPr>
              <w:t>49</w:t>
            </w:r>
            <w:r>
              <w:rPr>
                <w:noProof/>
                <w:webHidden/>
              </w:rPr>
              <w:fldChar w:fldCharType="end"/>
            </w:r>
          </w:hyperlink>
        </w:p>
        <w:p w:rsidR="002D0BA4" w:rsidRDefault="002D0BA4">
          <w:pPr>
            <w:pStyle w:val="Sadraj2"/>
            <w:tabs>
              <w:tab w:val="right" w:leader="dot" w:pos="9062"/>
            </w:tabs>
            <w:rPr>
              <w:rFonts w:eastAsiaTheme="minorEastAsia"/>
              <w:noProof/>
              <w:sz w:val="24"/>
              <w:szCs w:val="24"/>
              <w:lang w:eastAsia="hr-HR"/>
            </w:rPr>
          </w:pPr>
          <w:hyperlink w:anchor="_Toc217040699" w:history="1">
            <w:r w:rsidRPr="00C504E7">
              <w:rPr>
                <w:rStyle w:val="Hiperveza"/>
                <w:rFonts w:ascii="Times New Roman" w:eastAsia="Times New Roman" w:hAnsi="Times New Roman" w:cs="Times New Roman"/>
                <w:noProof/>
                <w:lang w:eastAsia="hr-HR"/>
              </w:rPr>
              <w:t>5.2. Praćenje održivosti</w:t>
            </w:r>
            <w:r>
              <w:rPr>
                <w:noProof/>
                <w:webHidden/>
              </w:rPr>
              <w:tab/>
            </w:r>
            <w:r>
              <w:rPr>
                <w:noProof/>
                <w:webHidden/>
              </w:rPr>
              <w:fldChar w:fldCharType="begin"/>
            </w:r>
            <w:r>
              <w:rPr>
                <w:noProof/>
                <w:webHidden/>
              </w:rPr>
              <w:instrText xml:space="preserve"> PAGEREF _Toc217040699 \h </w:instrText>
            </w:r>
            <w:r>
              <w:rPr>
                <w:noProof/>
                <w:webHidden/>
              </w:rPr>
            </w:r>
            <w:r>
              <w:rPr>
                <w:noProof/>
                <w:webHidden/>
              </w:rPr>
              <w:fldChar w:fldCharType="separate"/>
            </w:r>
            <w:r>
              <w:rPr>
                <w:noProof/>
                <w:webHidden/>
              </w:rPr>
              <w:t>52</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700" w:history="1">
            <w:r w:rsidRPr="00C504E7">
              <w:rPr>
                <w:rStyle w:val="Hiperveza"/>
                <w:rFonts w:ascii="Times New Roman" w:eastAsia="Times New Roman" w:hAnsi="Times New Roman" w:cs="Times New Roman"/>
                <w:b/>
                <w:bCs/>
                <w:noProof/>
                <w:kern w:val="0"/>
                <w:lang w:eastAsia="hr-HR"/>
                <w14:ligatures w14:val="none"/>
              </w:rPr>
              <w:t>6.</w:t>
            </w:r>
            <w:r>
              <w:rPr>
                <w:rFonts w:eastAsiaTheme="minorEastAsia"/>
                <w:noProof/>
                <w:sz w:val="24"/>
                <w:szCs w:val="24"/>
                <w:lang w:eastAsia="hr-HR"/>
              </w:rPr>
              <w:tab/>
            </w:r>
            <w:r w:rsidRPr="00C504E7">
              <w:rPr>
                <w:rStyle w:val="Hiperveza"/>
                <w:rFonts w:ascii="Times New Roman" w:hAnsi="Times New Roman" w:cs="Times New Roman"/>
                <w:b/>
                <w:bCs/>
                <w:noProof/>
              </w:rPr>
              <w:t>OBVEZNI POKAZATELJI ODRŽIVOSTI KOJI MJERE UTJECAJ TURIZMA NA DRUŠTVENE ASPEKTE ODRŽIVOSTI</w:t>
            </w:r>
            <w:r>
              <w:rPr>
                <w:noProof/>
                <w:webHidden/>
              </w:rPr>
              <w:tab/>
            </w:r>
            <w:r>
              <w:rPr>
                <w:noProof/>
                <w:webHidden/>
              </w:rPr>
              <w:fldChar w:fldCharType="begin"/>
            </w:r>
            <w:r>
              <w:rPr>
                <w:noProof/>
                <w:webHidden/>
              </w:rPr>
              <w:instrText xml:space="preserve"> PAGEREF _Toc217040700 \h </w:instrText>
            </w:r>
            <w:r>
              <w:rPr>
                <w:noProof/>
                <w:webHidden/>
              </w:rPr>
            </w:r>
            <w:r>
              <w:rPr>
                <w:noProof/>
                <w:webHidden/>
              </w:rPr>
              <w:fldChar w:fldCharType="separate"/>
            </w:r>
            <w:r>
              <w:rPr>
                <w:noProof/>
                <w:webHidden/>
              </w:rPr>
              <w:t>53</w:t>
            </w:r>
            <w:r>
              <w:rPr>
                <w:noProof/>
                <w:webHidden/>
              </w:rPr>
              <w:fldChar w:fldCharType="end"/>
            </w:r>
          </w:hyperlink>
        </w:p>
        <w:p w:rsidR="002D0BA4" w:rsidRDefault="002D0BA4">
          <w:pPr>
            <w:pStyle w:val="Sadraj2"/>
            <w:tabs>
              <w:tab w:val="right" w:leader="dot" w:pos="9062"/>
            </w:tabs>
            <w:rPr>
              <w:rFonts w:eastAsiaTheme="minorEastAsia"/>
              <w:noProof/>
              <w:sz w:val="24"/>
              <w:szCs w:val="24"/>
              <w:lang w:eastAsia="hr-HR"/>
            </w:rPr>
          </w:pPr>
          <w:hyperlink w:anchor="_Toc217040701" w:history="1">
            <w:r w:rsidRPr="00C504E7">
              <w:rPr>
                <w:rStyle w:val="Hiperveza"/>
                <w:rFonts w:ascii="Times New Roman" w:eastAsia="Times New Roman" w:hAnsi="Times New Roman" w:cs="Times New Roman"/>
                <w:noProof/>
                <w:lang w:eastAsia="hr-HR"/>
              </w:rPr>
              <w:t>6.1. Zadovoljstvo lokalnog stanovništva turizmom</w:t>
            </w:r>
            <w:r>
              <w:rPr>
                <w:noProof/>
                <w:webHidden/>
              </w:rPr>
              <w:tab/>
            </w:r>
            <w:r>
              <w:rPr>
                <w:noProof/>
                <w:webHidden/>
              </w:rPr>
              <w:fldChar w:fldCharType="begin"/>
            </w:r>
            <w:r>
              <w:rPr>
                <w:noProof/>
                <w:webHidden/>
              </w:rPr>
              <w:instrText xml:space="preserve"> PAGEREF _Toc217040701 \h </w:instrText>
            </w:r>
            <w:r>
              <w:rPr>
                <w:noProof/>
                <w:webHidden/>
              </w:rPr>
            </w:r>
            <w:r>
              <w:rPr>
                <w:noProof/>
                <w:webHidden/>
              </w:rPr>
              <w:fldChar w:fldCharType="separate"/>
            </w:r>
            <w:r>
              <w:rPr>
                <w:noProof/>
                <w:webHidden/>
              </w:rPr>
              <w:t>53</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702" w:history="1">
            <w:r w:rsidRPr="00C504E7">
              <w:rPr>
                <w:rStyle w:val="Hiperveza"/>
                <w:rFonts w:ascii="Times New Roman" w:hAnsi="Times New Roman" w:cs="Times New Roman"/>
                <w:noProof/>
              </w:rPr>
              <w:t>6.1.1.</w:t>
            </w:r>
            <w:r>
              <w:rPr>
                <w:rFonts w:eastAsiaTheme="minorEastAsia"/>
                <w:noProof/>
                <w:sz w:val="24"/>
                <w:szCs w:val="24"/>
                <w:lang w:eastAsia="hr-HR"/>
              </w:rPr>
              <w:tab/>
            </w:r>
            <w:r w:rsidRPr="00C504E7">
              <w:rPr>
                <w:rStyle w:val="Hiperveza"/>
                <w:rFonts w:ascii="Times New Roman" w:hAnsi="Times New Roman" w:cs="Times New Roman"/>
                <w:noProof/>
              </w:rPr>
              <w:t>Broj turističkih noćenja na stotinu stalnih stanovnika u vrhu turističke sezone  (ZL-1)</w:t>
            </w:r>
            <w:r>
              <w:rPr>
                <w:noProof/>
                <w:webHidden/>
              </w:rPr>
              <w:tab/>
            </w:r>
            <w:r>
              <w:rPr>
                <w:noProof/>
                <w:webHidden/>
              </w:rPr>
              <w:fldChar w:fldCharType="begin"/>
            </w:r>
            <w:r>
              <w:rPr>
                <w:noProof/>
                <w:webHidden/>
              </w:rPr>
              <w:instrText xml:space="preserve"> PAGEREF _Toc217040702 \h </w:instrText>
            </w:r>
            <w:r>
              <w:rPr>
                <w:noProof/>
                <w:webHidden/>
              </w:rPr>
            </w:r>
            <w:r>
              <w:rPr>
                <w:noProof/>
                <w:webHidden/>
              </w:rPr>
              <w:fldChar w:fldCharType="separate"/>
            </w:r>
            <w:r>
              <w:rPr>
                <w:noProof/>
                <w:webHidden/>
              </w:rPr>
              <w:t>53</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703" w:history="1">
            <w:r w:rsidRPr="00C504E7">
              <w:rPr>
                <w:rStyle w:val="Hiperveza"/>
                <w:rFonts w:ascii="Times New Roman" w:hAnsi="Times New Roman" w:cs="Times New Roman"/>
                <w:noProof/>
              </w:rPr>
              <w:t>6.1.2.</w:t>
            </w:r>
            <w:r>
              <w:rPr>
                <w:rFonts w:eastAsiaTheme="minorEastAsia"/>
                <w:noProof/>
                <w:sz w:val="24"/>
                <w:szCs w:val="24"/>
                <w:lang w:eastAsia="hr-HR"/>
              </w:rPr>
              <w:tab/>
            </w:r>
            <w:r w:rsidRPr="00C504E7">
              <w:rPr>
                <w:rStyle w:val="Hiperveza"/>
                <w:rFonts w:ascii="Times New Roman" w:hAnsi="Times New Roman" w:cs="Times New Roman"/>
                <w:noProof/>
              </w:rPr>
              <w:t>Zadovoljstvo lokalnog stanovništva turizmom (ZL-2)</w:t>
            </w:r>
            <w:r>
              <w:rPr>
                <w:noProof/>
                <w:webHidden/>
              </w:rPr>
              <w:tab/>
            </w:r>
            <w:r>
              <w:rPr>
                <w:noProof/>
                <w:webHidden/>
              </w:rPr>
              <w:fldChar w:fldCharType="begin"/>
            </w:r>
            <w:r>
              <w:rPr>
                <w:noProof/>
                <w:webHidden/>
              </w:rPr>
              <w:instrText xml:space="preserve"> PAGEREF _Toc217040703 \h </w:instrText>
            </w:r>
            <w:r>
              <w:rPr>
                <w:noProof/>
                <w:webHidden/>
              </w:rPr>
            </w:r>
            <w:r>
              <w:rPr>
                <w:noProof/>
                <w:webHidden/>
              </w:rPr>
              <w:fldChar w:fldCharType="separate"/>
            </w:r>
            <w:r>
              <w:rPr>
                <w:noProof/>
                <w:webHidden/>
              </w:rPr>
              <w:t>55</w:t>
            </w:r>
            <w:r>
              <w:rPr>
                <w:noProof/>
                <w:webHidden/>
              </w:rPr>
              <w:fldChar w:fldCharType="end"/>
            </w:r>
          </w:hyperlink>
        </w:p>
        <w:p w:rsidR="002D0BA4" w:rsidRDefault="002D0BA4">
          <w:pPr>
            <w:pStyle w:val="Sadraj2"/>
            <w:tabs>
              <w:tab w:val="right" w:leader="dot" w:pos="9062"/>
            </w:tabs>
            <w:rPr>
              <w:rFonts w:eastAsiaTheme="minorEastAsia"/>
              <w:noProof/>
              <w:sz w:val="24"/>
              <w:szCs w:val="24"/>
              <w:lang w:eastAsia="hr-HR"/>
            </w:rPr>
          </w:pPr>
          <w:hyperlink w:anchor="_Toc217040704" w:history="1">
            <w:r w:rsidRPr="00C504E7">
              <w:rPr>
                <w:rStyle w:val="Hiperveza"/>
                <w:rFonts w:ascii="Times New Roman" w:hAnsi="Times New Roman" w:cs="Times New Roman"/>
                <w:noProof/>
              </w:rPr>
              <w:t>6.2. Zadovoljstvo turista i jednodnevnih posjetitelja destinacijom</w:t>
            </w:r>
            <w:r>
              <w:rPr>
                <w:noProof/>
                <w:webHidden/>
              </w:rPr>
              <w:tab/>
            </w:r>
            <w:r>
              <w:rPr>
                <w:noProof/>
                <w:webHidden/>
              </w:rPr>
              <w:fldChar w:fldCharType="begin"/>
            </w:r>
            <w:r>
              <w:rPr>
                <w:noProof/>
                <w:webHidden/>
              </w:rPr>
              <w:instrText xml:space="preserve"> PAGEREF _Toc217040704 \h </w:instrText>
            </w:r>
            <w:r>
              <w:rPr>
                <w:noProof/>
                <w:webHidden/>
              </w:rPr>
            </w:r>
            <w:r>
              <w:rPr>
                <w:noProof/>
                <w:webHidden/>
              </w:rPr>
              <w:fldChar w:fldCharType="separate"/>
            </w:r>
            <w:r>
              <w:rPr>
                <w:noProof/>
                <w:webHidden/>
              </w:rPr>
              <w:t>56</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705" w:history="1">
            <w:r w:rsidRPr="00C504E7">
              <w:rPr>
                <w:rStyle w:val="Hiperveza"/>
                <w:rFonts w:ascii="Times New Roman" w:hAnsi="Times New Roman" w:cs="Times New Roman"/>
                <w:noProof/>
              </w:rPr>
              <w:t>6.2.1.</w:t>
            </w:r>
            <w:r>
              <w:rPr>
                <w:rFonts w:eastAsiaTheme="minorEastAsia"/>
                <w:noProof/>
                <w:sz w:val="24"/>
                <w:szCs w:val="24"/>
                <w:lang w:eastAsia="hr-HR"/>
              </w:rPr>
              <w:tab/>
            </w:r>
            <w:r w:rsidRPr="00C504E7">
              <w:rPr>
                <w:rStyle w:val="Hiperveza"/>
                <w:rFonts w:ascii="Times New Roman" w:hAnsi="Times New Roman" w:cs="Times New Roman"/>
                <w:noProof/>
              </w:rPr>
              <w:t>Zadovoljstvo cjelokupnim boravkom u destinaciji (ZT-1)</w:t>
            </w:r>
            <w:r>
              <w:rPr>
                <w:noProof/>
                <w:webHidden/>
              </w:rPr>
              <w:tab/>
            </w:r>
            <w:r>
              <w:rPr>
                <w:noProof/>
                <w:webHidden/>
              </w:rPr>
              <w:fldChar w:fldCharType="begin"/>
            </w:r>
            <w:r>
              <w:rPr>
                <w:noProof/>
                <w:webHidden/>
              </w:rPr>
              <w:instrText xml:space="preserve"> PAGEREF _Toc217040705 \h </w:instrText>
            </w:r>
            <w:r>
              <w:rPr>
                <w:noProof/>
                <w:webHidden/>
              </w:rPr>
            </w:r>
            <w:r>
              <w:rPr>
                <w:noProof/>
                <w:webHidden/>
              </w:rPr>
              <w:fldChar w:fldCharType="separate"/>
            </w:r>
            <w:r>
              <w:rPr>
                <w:noProof/>
                <w:webHidden/>
              </w:rPr>
              <w:t>56</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06" w:history="1">
            <w:r w:rsidRPr="00C504E7">
              <w:rPr>
                <w:rStyle w:val="Hiperveza"/>
                <w:rFonts w:ascii="Times New Roman" w:hAnsi="Times New Roman" w:cs="Times New Roman"/>
                <w:noProof/>
              </w:rPr>
              <w:t>6.3.</w:t>
            </w:r>
            <w:r>
              <w:rPr>
                <w:rFonts w:eastAsiaTheme="minorEastAsia"/>
                <w:noProof/>
                <w:sz w:val="24"/>
                <w:szCs w:val="24"/>
                <w:lang w:eastAsia="hr-HR"/>
              </w:rPr>
              <w:tab/>
            </w:r>
            <w:r w:rsidRPr="00C504E7">
              <w:rPr>
                <w:rStyle w:val="Hiperveza"/>
                <w:rFonts w:ascii="Times New Roman" w:hAnsi="Times New Roman" w:cs="Times New Roman"/>
                <w:noProof/>
              </w:rPr>
              <w:t>Pristupačnost destinacije</w:t>
            </w:r>
            <w:r>
              <w:rPr>
                <w:noProof/>
                <w:webHidden/>
              </w:rPr>
              <w:tab/>
            </w:r>
            <w:r>
              <w:rPr>
                <w:noProof/>
                <w:webHidden/>
              </w:rPr>
              <w:fldChar w:fldCharType="begin"/>
            </w:r>
            <w:r>
              <w:rPr>
                <w:noProof/>
                <w:webHidden/>
              </w:rPr>
              <w:instrText xml:space="preserve"> PAGEREF _Toc217040706 \h </w:instrText>
            </w:r>
            <w:r>
              <w:rPr>
                <w:noProof/>
                <w:webHidden/>
              </w:rPr>
            </w:r>
            <w:r>
              <w:rPr>
                <w:noProof/>
                <w:webHidden/>
              </w:rPr>
              <w:fldChar w:fldCharType="separate"/>
            </w:r>
            <w:r>
              <w:rPr>
                <w:noProof/>
                <w:webHidden/>
              </w:rPr>
              <w:t>58</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707" w:history="1">
            <w:r w:rsidRPr="00C504E7">
              <w:rPr>
                <w:rStyle w:val="Hiperveza"/>
                <w:rFonts w:ascii="Times New Roman" w:hAnsi="Times New Roman" w:cs="Times New Roman"/>
                <w:noProof/>
              </w:rPr>
              <w:t>6.3.1.</w:t>
            </w:r>
            <w:r>
              <w:rPr>
                <w:rFonts w:eastAsiaTheme="minorEastAsia"/>
                <w:noProof/>
                <w:sz w:val="24"/>
                <w:szCs w:val="24"/>
                <w:lang w:eastAsia="hr-HR"/>
              </w:rPr>
              <w:tab/>
            </w:r>
            <w:r w:rsidRPr="00C504E7">
              <w:rPr>
                <w:rStyle w:val="Hiperveza"/>
                <w:rFonts w:ascii="Times New Roman" w:hAnsi="Times New Roman" w:cs="Times New Roman"/>
                <w:noProof/>
              </w:rPr>
              <w:t>Udio atrakcija (lokaliteta) pristupačnih osobama s invaliditetom PD-1</w:t>
            </w:r>
            <w:r>
              <w:rPr>
                <w:noProof/>
                <w:webHidden/>
              </w:rPr>
              <w:tab/>
            </w:r>
            <w:r>
              <w:rPr>
                <w:noProof/>
                <w:webHidden/>
              </w:rPr>
              <w:fldChar w:fldCharType="begin"/>
            </w:r>
            <w:r>
              <w:rPr>
                <w:noProof/>
                <w:webHidden/>
              </w:rPr>
              <w:instrText xml:space="preserve"> PAGEREF _Toc217040707 \h </w:instrText>
            </w:r>
            <w:r>
              <w:rPr>
                <w:noProof/>
                <w:webHidden/>
              </w:rPr>
            </w:r>
            <w:r>
              <w:rPr>
                <w:noProof/>
                <w:webHidden/>
              </w:rPr>
              <w:fldChar w:fldCharType="separate"/>
            </w:r>
            <w:r>
              <w:rPr>
                <w:noProof/>
                <w:webHidden/>
              </w:rPr>
              <w:t>58</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08" w:history="1">
            <w:r w:rsidRPr="00C504E7">
              <w:rPr>
                <w:rStyle w:val="Hiperveza"/>
                <w:rFonts w:ascii="Times New Roman" w:eastAsia="Times New Roman" w:hAnsi="Times New Roman" w:cs="Times New Roman"/>
                <w:noProof/>
                <w:lang w:eastAsia="hr-HR"/>
              </w:rPr>
              <w:t>6.4.</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Sigurnost destinacije</w:t>
            </w:r>
            <w:r>
              <w:rPr>
                <w:noProof/>
                <w:webHidden/>
              </w:rPr>
              <w:tab/>
            </w:r>
            <w:r>
              <w:rPr>
                <w:noProof/>
                <w:webHidden/>
              </w:rPr>
              <w:fldChar w:fldCharType="begin"/>
            </w:r>
            <w:r>
              <w:rPr>
                <w:noProof/>
                <w:webHidden/>
              </w:rPr>
              <w:instrText xml:space="preserve"> PAGEREF _Toc217040708 \h </w:instrText>
            </w:r>
            <w:r>
              <w:rPr>
                <w:noProof/>
                <w:webHidden/>
              </w:rPr>
            </w:r>
            <w:r>
              <w:rPr>
                <w:noProof/>
                <w:webHidden/>
              </w:rPr>
              <w:fldChar w:fldCharType="separate"/>
            </w:r>
            <w:r>
              <w:rPr>
                <w:noProof/>
                <w:webHidden/>
              </w:rPr>
              <w:t>60</w:t>
            </w:r>
            <w:r>
              <w:rPr>
                <w:noProof/>
                <w:webHidden/>
              </w:rPr>
              <w:fldChar w:fldCharType="end"/>
            </w:r>
          </w:hyperlink>
        </w:p>
        <w:p w:rsidR="002D0BA4" w:rsidRDefault="002D0BA4">
          <w:pPr>
            <w:pStyle w:val="Sadraj3"/>
            <w:tabs>
              <w:tab w:val="left" w:pos="1200"/>
              <w:tab w:val="right" w:leader="dot" w:pos="9062"/>
            </w:tabs>
            <w:rPr>
              <w:rFonts w:eastAsiaTheme="minorEastAsia"/>
              <w:noProof/>
              <w:sz w:val="24"/>
              <w:szCs w:val="24"/>
              <w:lang w:eastAsia="hr-HR"/>
            </w:rPr>
          </w:pPr>
          <w:hyperlink w:anchor="_Toc217040709" w:history="1">
            <w:r w:rsidRPr="00C504E7">
              <w:rPr>
                <w:rStyle w:val="Hiperveza"/>
                <w:rFonts w:ascii="Times New Roman" w:eastAsia="Times New Roman" w:hAnsi="Times New Roman" w:cs="Times New Roman"/>
                <w:noProof/>
                <w:lang w:eastAsia="hr-HR"/>
              </w:rPr>
              <w:t>6.4.1.</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Broj organiziranih turističkih ambulanti (SD-1)</w:t>
            </w:r>
            <w:r>
              <w:rPr>
                <w:noProof/>
                <w:webHidden/>
              </w:rPr>
              <w:tab/>
            </w:r>
            <w:r>
              <w:rPr>
                <w:noProof/>
                <w:webHidden/>
              </w:rPr>
              <w:fldChar w:fldCharType="begin"/>
            </w:r>
            <w:r>
              <w:rPr>
                <w:noProof/>
                <w:webHidden/>
              </w:rPr>
              <w:instrText xml:space="preserve"> PAGEREF _Toc217040709 \h </w:instrText>
            </w:r>
            <w:r>
              <w:rPr>
                <w:noProof/>
                <w:webHidden/>
              </w:rPr>
            </w:r>
            <w:r>
              <w:rPr>
                <w:noProof/>
                <w:webHidden/>
              </w:rPr>
              <w:fldChar w:fldCharType="separate"/>
            </w:r>
            <w:r>
              <w:rPr>
                <w:noProof/>
                <w:webHidden/>
              </w:rPr>
              <w:t>60</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710" w:history="1">
            <w:r w:rsidRPr="00C504E7">
              <w:rPr>
                <w:rStyle w:val="Hiperveza"/>
                <w:rFonts w:ascii="Times New Roman" w:hAnsi="Times New Roman" w:cs="Times New Roman"/>
                <w:b/>
                <w:bCs/>
                <w:noProof/>
              </w:rPr>
              <w:t>7.</w:t>
            </w:r>
            <w:r>
              <w:rPr>
                <w:rFonts w:eastAsiaTheme="minorEastAsia"/>
                <w:noProof/>
                <w:sz w:val="24"/>
                <w:szCs w:val="24"/>
                <w:lang w:eastAsia="hr-HR"/>
              </w:rPr>
              <w:tab/>
            </w:r>
            <w:r w:rsidRPr="00C504E7">
              <w:rPr>
                <w:rStyle w:val="Hiperveza"/>
                <w:rFonts w:ascii="Times New Roman" w:hAnsi="Times New Roman" w:cs="Times New Roman"/>
                <w:b/>
                <w:bCs/>
                <w:noProof/>
              </w:rPr>
              <w:t>OBVEZNI POKAZATELJI ODRŽIVOSTI KOJI MJERE UTJECAJ TURIZMA NA OKOLIŠNE ASPEKTE ODRŽIVOSTI</w:t>
            </w:r>
            <w:r>
              <w:rPr>
                <w:noProof/>
                <w:webHidden/>
              </w:rPr>
              <w:tab/>
            </w:r>
            <w:r>
              <w:rPr>
                <w:noProof/>
                <w:webHidden/>
              </w:rPr>
              <w:fldChar w:fldCharType="begin"/>
            </w:r>
            <w:r>
              <w:rPr>
                <w:noProof/>
                <w:webHidden/>
              </w:rPr>
              <w:instrText xml:space="preserve"> PAGEREF _Toc217040710 \h </w:instrText>
            </w:r>
            <w:r>
              <w:rPr>
                <w:noProof/>
                <w:webHidden/>
              </w:rPr>
            </w:r>
            <w:r>
              <w:rPr>
                <w:noProof/>
                <w:webHidden/>
              </w:rPr>
              <w:fldChar w:fldCharType="separate"/>
            </w:r>
            <w:r>
              <w:rPr>
                <w:noProof/>
                <w:webHidden/>
              </w:rPr>
              <w:t>62</w:t>
            </w:r>
            <w:r>
              <w:rPr>
                <w:noProof/>
                <w:webHidden/>
              </w:rPr>
              <w:fldChar w:fldCharType="end"/>
            </w:r>
          </w:hyperlink>
        </w:p>
        <w:p w:rsidR="002D0BA4" w:rsidRDefault="002D0BA4">
          <w:pPr>
            <w:pStyle w:val="Sadraj2"/>
            <w:tabs>
              <w:tab w:val="right" w:leader="dot" w:pos="9062"/>
            </w:tabs>
            <w:rPr>
              <w:rFonts w:eastAsiaTheme="minorEastAsia"/>
              <w:noProof/>
              <w:sz w:val="24"/>
              <w:szCs w:val="24"/>
              <w:lang w:eastAsia="hr-HR"/>
            </w:rPr>
          </w:pPr>
          <w:hyperlink w:anchor="_Toc217040711" w:history="1">
            <w:r w:rsidRPr="00C504E7">
              <w:rPr>
                <w:rStyle w:val="Hiperveza"/>
                <w:rFonts w:ascii="Times New Roman" w:hAnsi="Times New Roman" w:cs="Times New Roman"/>
                <w:noProof/>
              </w:rPr>
              <w:t>7.1. Upravljanje vodnim resursima</w:t>
            </w:r>
            <w:r>
              <w:rPr>
                <w:noProof/>
                <w:webHidden/>
              </w:rPr>
              <w:tab/>
            </w:r>
            <w:r>
              <w:rPr>
                <w:noProof/>
                <w:webHidden/>
              </w:rPr>
              <w:fldChar w:fldCharType="begin"/>
            </w:r>
            <w:r>
              <w:rPr>
                <w:noProof/>
                <w:webHidden/>
              </w:rPr>
              <w:instrText xml:space="preserve"> PAGEREF _Toc217040711 \h </w:instrText>
            </w:r>
            <w:r>
              <w:rPr>
                <w:noProof/>
                <w:webHidden/>
              </w:rPr>
            </w:r>
            <w:r>
              <w:rPr>
                <w:noProof/>
                <w:webHidden/>
              </w:rPr>
              <w:fldChar w:fldCharType="separate"/>
            </w:r>
            <w:r>
              <w:rPr>
                <w:noProof/>
                <w:webHidden/>
              </w:rPr>
              <w:t>62</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12" w:history="1">
            <w:r w:rsidRPr="00C504E7">
              <w:rPr>
                <w:rStyle w:val="Hiperveza"/>
                <w:rFonts w:ascii="Times New Roman" w:hAnsi="Times New Roman" w:cs="Times New Roman"/>
                <w:noProof/>
                <w:lang w:eastAsia="hr-HR"/>
              </w:rPr>
              <w:t>7.2.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Gospodarenje otpadom</w:t>
            </w:r>
            <w:r>
              <w:rPr>
                <w:noProof/>
                <w:webHidden/>
              </w:rPr>
              <w:tab/>
            </w:r>
            <w:r>
              <w:rPr>
                <w:noProof/>
                <w:webHidden/>
              </w:rPr>
              <w:fldChar w:fldCharType="begin"/>
            </w:r>
            <w:r>
              <w:rPr>
                <w:noProof/>
                <w:webHidden/>
              </w:rPr>
              <w:instrText xml:space="preserve"> PAGEREF _Toc217040712 \h </w:instrText>
            </w:r>
            <w:r>
              <w:rPr>
                <w:noProof/>
                <w:webHidden/>
              </w:rPr>
            </w:r>
            <w:r>
              <w:rPr>
                <w:noProof/>
                <w:webHidden/>
              </w:rPr>
              <w:fldChar w:fldCharType="separate"/>
            </w:r>
            <w:r>
              <w:rPr>
                <w:noProof/>
                <w:webHidden/>
              </w:rPr>
              <w:t>64</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13" w:history="1">
            <w:r w:rsidRPr="00C504E7">
              <w:rPr>
                <w:rStyle w:val="Hiperveza"/>
                <w:rFonts w:ascii="Times New Roman" w:hAnsi="Times New Roman" w:cs="Times New Roman"/>
                <w:noProof/>
                <w:lang w:eastAsia="hr-HR"/>
              </w:rPr>
              <w:t>7.3.</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Zaštita bioraznolikosti</w:t>
            </w:r>
            <w:r>
              <w:rPr>
                <w:noProof/>
                <w:webHidden/>
              </w:rPr>
              <w:tab/>
            </w:r>
            <w:r>
              <w:rPr>
                <w:noProof/>
                <w:webHidden/>
              </w:rPr>
              <w:fldChar w:fldCharType="begin"/>
            </w:r>
            <w:r>
              <w:rPr>
                <w:noProof/>
                <w:webHidden/>
              </w:rPr>
              <w:instrText xml:space="preserve"> PAGEREF _Toc217040713 \h </w:instrText>
            </w:r>
            <w:r>
              <w:rPr>
                <w:noProof/>
                <w:webHidden/>
              </w:rPr>
            </w:r>
            <w:r>
              <w:rPr>
                <w:noProof/>
                <w:webHidden/>
              </w:rPr>
              <w:fldChar w:fldCharType="separate"/>
            </w:r>
            <w:r>
              <w:rPr>
                <w:noProof/>
                <w:webHidden/>
              </w:rPr>
              <w:t>67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14" w:history="1">
            <w:r w:rsidRPr="00C504E7">
              <w:rPr>
                <w:rStyle w:val="Hiperveza"/>
                <w:rFonts w:ascii="Times New Roman" w:hAnsi="Times New Roman" w:cs="Times New Roman"/>
                <w:noProof/>
                <w:lang w:eastAsia="hr-HR"/>
              </w:rPr>
              <w:t>7.4.</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Održivo upravljanje energijom</w:t>
            </w:r>
            <w:r>
              <w:rPr>
                <w:noProof/>
                <w:webHidden/>
              </w:rPr>
              <w:tab/>
            </w:r>
            <w:r>
              <w:rPr>
                <w:noProof/>
                <w:webHidden/>
              </w:rPr>
              <w:fldChar w:fldCharType="begin"/>
            </w:r>
            <w:r>
              <w:rPr>
                <w:noProof/>
                <w:webHidden/>
              </w:rPr>
              <w:instrText xml:space="preserve"> PAGEREF _Toc217040714 \h </w:instrText>
            </w:r>
            <w:r>
              <w:rPr>
                <w:noProof/>
                <w:webHidden/>
              </w:rPr>
            </w:r>
            <w:r>
              <w:rPr>
                <w:noProof/>
                <w:webHidden/>
              </w:rPr>
              <w:fldChar w:fldCharType="separate"/>
            </w:r>
            <w:r>
              <w:rPr>
                <w:noProof/>
                <w:webHidden/>
              </w:rPr>
              <w:t>69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15" w:history="1">
            <w:r w:rsidRPr="00C504E7">
              <w:rPr>
                <w:rStyle w:val="Hiperveza"/>
                <w:rFonts w:ascii="Times New Roman" w:hAnsi="Times New Roman" w:cs="Times New Roman"/>
                <w:noProof/>
                <w:lang w:eastAsia="hr-HR"/>
              </w:rPr>
              <w:t>7.5.</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Ublažavanje i prilagodba klimatskim promjenama</w:t>
            </w:r>
            <w:r>
              <w:rPr>
                <w:noProof/>
                <w:webHidden/>
              </w:rPr>
              <w:tab/>
            </w:r>
            <w:r>
              <w:rPr>
                <w:noProof/>
                <w:webHidden/>
              </w:rPr>
              <w:fldChar w:fldCharType="begin"/>
            </w:r>
            <w:r>
              <w:rPr>
                <w:noProof/>
                <w:webHidden/>
              </w:rPr>
              <w:instrText xml:space="preserve"> PAGEREF _Toc217040715 \h </w:instrText>
            </w:r>
            <w:r>
              <w:rPr>
                <w:noProof/>
                <w:webHidden/>
              </w:rPr>
            </w:r>
            <w:r>
              <w:rPr>
                <w:noProof/>
                <w:webHidden/>
              </w:rPr>
              <w:fldChar w:fldCharType="separate"/>
            </w:r>
            <w:r>
              <w:rPr>
                <w:noProof/>
                <w:webHidden/>
              </w:rPr>
              <w:t>71</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716" w:history="1">
            <w:r w:rsidRPr="00C504E7">
              <w:rPr>
                <w:rStyle w:val="Hiperveza"/>
                <w:rFonts w:ascii="Times New Roman" w:hAnsi="Times New Roman" w:cs="Times New Roman"/>
                <w:b/>
                <w:bCs/>
                <w:noProof/>
                <w:lang w:eastAsia="hr-HR"/>
              </w:rPr>
              <w:t>8.</w:t>
            </w:r>
            <w:r>
              <w:rPr>
                <w:rFonts w:eastAsiaTheme="minorEastAsia"/>
                <w:noProof/>
                <w:sz w:val="24"/>
                <w:szCs w:val="24"/>
                <w:lang w:eastAsia="hr-HR"/>
              </w:rPr>
              <w:tab/>
            </w:r>
            <w:r w:rsidRPr="00C504E7">
              <w:rPr>
                <w:rStyle w:val="Hiperveza"/>
                <w:rFonts w:ascii="Times New Roman" w:eastAsia="Times New Roman" w:hAnsi="Times New Roman" w:cs="Times New Roman"/>
                <w:b/>
                <w:bCs/>
                <w:noProof/>
                <w:lang w:eastAsia="hr-HR"/>
              </w:rPr>
              <w:t>OBVEZNI POKAZATELJI ODRŽIVOSTI KOJI MJERE UTJECAJ TURIZMA NA EKONOMSKE ASPEKTE ODRŽIVOSTI</w:t>
            </w:r>
            <w:r>
              <w:rPr>
                <w:noProof/>
                <w:webHidden/>
              </w:rPr>
              <w:tab/>
            </w:r>
            <w:r>
              <w:rPr>
                <w:noProof/>
                <w:webHidden/>
              </w:rPr>
              <w:fldChar w:fldCharType="begin"/>
            </w:r>
            <w:r>
              <w:rPr>
                <w:noProof/>
                <w:webHidden/>
              </w:rPr>
              <w:instrText xml:space="preserve"> PAGEREF _Toc217040716 \h </w:instrText>
            </w:r>
            <w:r>
              <w:rPr>
                <w:noProof/>
                <w:webHidden/>
              </w:rPr>
            </w:r>
            <w:r>
              <w:rPr>
                <w:noProof/>
                <w:webHidden/>
              </w:rPr>
              <w:fldChar w:fldCharType="separate"/>
            </w:r>
            <w:r>
              <w:rPr>
                <w:noProof/>
                <w:webHidden/>
              </w:rPr>
              <w:t>73</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17" w:history="1">
            <w:r w:rsidRPr="00C504E7">
              <w:rPr>
                <w:rStyle w:val="Hiperveza"/>
                <w:rFonts w:ascii="Times New Roman" w:hAnsi="Times New Roman" w:cs="Times New Roman"/>
                <w:noProof/>
                <w:lang w:eastAsia="hr-HR"/>
              </w:rPr>
              <w:t>8.1.</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Turistički promet</w:t>
            </w:r>
            <w:r>
              <w:rPr>
                <w:noProof/>
                <w:webHidden/>
              </w:rPr>
              <w:tab/>
            </w:r>
            <w:r>
              <w:rPr>
                <w:noProof/>
                <w:webHidden/>
              </w:rPr>
              <w:fldChar w:fldCharType="begin"/>
            </w:r>
            <w:r>
              <w:rPr>
                <w:noProof/>
                <w:webHidden/>
              </w:rPr>
              <w:instrText xml:space="preserve"> PAGEREF _Toc217040717 \h </w:instrText>
            </w:r>
            <w:r>
              <w:rPr>
                <w:noProof/>
                <w:webHidden/>
              </w:rPr>
            </w:r>
            <w:r>
              <w:rPr>
                <w:noProof/>
                <w:webHidden/>
              </w:rPr>
              <w:fldChar w:fldCharType="separate"/>
            </w:r>
            <w:r>
              <w:rPr>
                <w:noProof/>
                <w:webHidden/>
              </w:rPr>
              <w:t>73</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18" w:history="1">
            <w:r w:rsidRPr="00C504E7">
              <w:rPr>
                <w:rStyle w:val="Hiperveza"/>
                <w:rFonts w:ascii="Times New Roman" w:hAnsi="Times New Roman" w:cs="Times New Roman"/>
                <w:noProof/>
                <w:lang w:eastAsia="hr-HR"/>
              </w:rPr>
              <w:t>8.2.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Poslovanje gospodarskih subjekata u turizmu</w:t>
            </w:r>
            <w:r>
              <w:rPr>
                <w:noProof/>
                <w:webHidden/>
              </w:rPr>
              <w:tab/>
            </w:r>
            <w:r>
              <w:rPr>
                <w:noProof/>
                <w:webHidden/>
              </w:rPr>
              <w:fldChar w:fldCharType="begin"/>
            </w:r>
            <w:r>
              <w:rPr>
                <w:noProof/>
                <w:webHidden/>
              </w:rPr>
              <w:instrText xml:space="preserve"> PAGEREF _Toc217040718 \h </w:instrText>
            </w:r>
            <w:r>
              <w:rPr>
                <w:noProof/>
                <w:webHidden/>
              </w:rPr>
            </w:r>
            <w:r>
              <w:rPr>
                <w:noProof/>
                <w:webHidden/>
              </w:rPr>
              <w:fldChar w:fldCharType="separate"/>
            </w:r>
            <w:r>
              <w:rPr>
                <w:noProof/>
                <w:webHidden/>
              </w:rPr>
              <w:t>76</w:t>
            </w:r>
            <w:r>
              <w:rPr>
                <w:noProof/>
                <w:webHidden/>
              </w:rPr>
              <w:fldChar w:fldCharType="end"/>
            </w:r>
          </w:hyperlink>
        </w:p>
        <w:p w:rsidR="002D0BA4" w:rsidRDefault="002D0BA4">
          <w:pPr>
            <w:pStyle w:val="Sadraj1"/>
            <w:tabs>
              <w:tab w:val="left" w:pos="440"/>
              <w:tab w:val="right" w:leader="dot" w:pos="9062"/>
            </w:tabs>
            <w:rPr>
              <w:rFonts w:eastAsiaTheme="minorEastAsia"/>
              <w:noProof/>
              <w:sz w:val="24"/>
              <w:szCs w:val="24"/>
              <w:lang w:eastAsia="hr-HR"/>
            </w:rPr>
          </w:pPr>
          <w:hyperlink w:anchor="_Toc217040719" w:history="1">
            <w:r w:rsidRPr="00C504E7">
              <w:rPr>
                <w:rStyle w:val="Hiperveza"/>
                <w:rFonts w:ascii="Times New Roman" w:hAnsi="Times New Roman" w:cs="Times New Roman"/>
                <w:b/>
                <w:bCs/>
                <w:noProof/>
                <w:lang w:eastAsia="hr-HR"/>
              </w:rPr>
              <w:t>9.</w:t>
            </w:r>
            <w:r>
              <w:rPr>
                <w:rFonts w:eastAsiaTheme="minorEastAsia"/>
                <w:noProof/>
                <w:sz w:val="24"/>
                <w:szCs w:val="24"/>
                <w:lang w:eastAsia="hr-HR"/>
              </w:rPr>
              <w:tab/>
            </w:r>
            <w:r w:rsidRPr="00C504E7">
              <w:rPr>
                <w:rStyle w:val="Hiperveza"/>
                <w:rFonts w:ascii="Times New Roman" w:eastAsia="Times New Roman" w:hAnsi="Times New Roman" w:cs="Times New Roman"/>
                <w:b/>
                <w:bCs/>
                <w:noProof/>
                <w:lang w:eastAsia="hr-HR"/>
              </w:rPr>
              <w:t>OBVEZNI POKAZATELJI ODRŽIVOSTI KOJI MJERE UTJECAJ TURIZMA NA PROSTORNE ASPEKTE ODRŽIVOSTI DESTINACIJE I ORGANIZACIJU TURIZMA</w:t>
            </w:r>
            <w:r>
              <w:rPr>
                <w:noProof/>
                <w:webHidden/>
              </w:rPr>
              <w:tab/>
            </w:r>
            <w:r>
              <w:rPr>
                <w:noProof/>
                <w:webHidden/>
              </w:rPr>
              <w:fldChar w:fldCharType="begin"/>
            </w:r>
            <w:r>
              <w:rPr>
                <w:noProof/>
                <w:webHidden/>
              </w:rPr>
              <w:instrText xml:space="preserve"> PAGEREF _Toc217040719 \h </w:instrText>
            </w:r>
            <w:r>
              <w:rPr>
                <w:noProof/>
                <w:webHidden/>
              </w:rPr>
            </w:r>
            <w:r>
              <w:rPr>
                <w:noProof/>
                <w:webHidden/>
              </w:rPr>
              <w:fldChar w:fldCharType="separate"/>
            </w:r>
            <w:r>
              <w:rPr>
                <w:noProof/>
                <w:webHidden/>
              </w:rPr>
              <w:t>79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0" w:history="1">
            <w:r w:rsidRPr="00C504E7">
              <w:rPr>
                <w:rStyle w:val="Hiperveza"/>
                <w:rFonts w:ascii="Times New Roman" w:hAnsi="Times New Roman" w:cs="Times New Roman"/>
                <w:noProof/>
                <w:lang w:eastAsia="hr-HR"/>
              </w:rPr>
              <w:t>9.1.</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Turistička infrastruktura</w:t>
            </w:r>
            <w:r>
              <w:rPr>
                <w:noProof/>
                <w:webHidden/>
              </w:rPr>
              <w:tab/>
            </w:r>
            <w:r>
              <w:rPr>
                <w:noProof/>
                <w:webHidden/>
              </w:rPr>
              <w:fldChar w:fldCharType="begin"/>
            </w:r>
            <w:r>
              <w:rPr>
                <w:noProof/>
                <w:webHidden/>
              </w:rPr>
              <w:instrText xml:space="preserve"> PAGEREF _Toc217040720 \h </w:instrText>
            </w:r>
            <w:r>
              <w:rPr>
                <w:noProof/>
                <w:webHidden/>
              </w:rPr>
            </w:r>
            <w:r>
              <w:rPr>
                <w:noProof/>
                <w:webHidden/>
              </w:rPr>
              <w:fldChar w:fldCharType="separate"/>
            </w:r>
            <w:r>
              <w:rPr>
                <w:noProof/>
                <w:webHidden/>
              </w:rPr>
              <w:t>79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1" w:history="1">
            <w:r w:rsidRPr="00C504E7">
              <w:rPr>
                <w:rStyle w:val="Hiperveza"/>
                <w:rFonts w:ascii="Times New Roman" w:hAnsi="Times New Roman" w:cs="Times New Roman"/>
                <w:noProof/>
                <w:lang w:eastAsia="hr-HR"/>
              </w:rPr>
              <w:t>9.2.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Održivo upravljanje destinacijom</w:t>
            </w:r>
            <w:r>
              <w:rPr>
                <w:noProof/>
                <w:webHidden/>
              </w:rPr>
              <w:tab/>
            </w:r>
            <w:r>
              <w:rPr>
                <w:noProof/>
                <w:webHidden/>
              </w:rPr>
              <w:fldChar w:fldCharType="begin"/>
            </w:r>
            <w:r>
              <w:rPr>
                <w:noProof/>
                <w:webHidden/>
              </w:rPr>
              <w:instrText xml:space="preserve"> PAGEREF _Toc217040721 \h </w:instrText>
            </w:r>
            <w:r>
              <w:rPr>
                <w:noProof/>
                <w:webHidden/>
              </w:rPr>
            </w:r>
            <w:r>
              <w:rPr>
                <w:noProof/>
                <w:webHidden/>
              </w:rPr>
              <w:fldChar w:fldCharType="separate"/>
            </w:r>
            <w:r>
              <w:rPr>
                <w:noProof/>
                <w:webHidden/>
              </w:rPr>
              <w:t>86</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2" w:history="1">
            <w:r w:rsidRPr="00C504E7">
              <w:rPr>
                <w:rStyle w:val="Hiperveza"/>
                <w:rFonts w:ascii="Times New Roman" w:hAnsi="Times New Roman" w:cs="Times New Roman"/>
                <w:noProof/>
                <w:lang w:eastAsia="hr-HR"/>
              </w:rPr>
              <w:t>9.3.</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Održivo upravljanje prostorom</w:t>
            </w:r>
            <w:r>
              <w:rPr>
                <w:noProof/>
                <w:webHidden/>
              </w:rPr>
              <w:tab/>
            </w:r>
            <w:r>
              <w:rPr>
                <w:noProof/>
                <w:webHidden/>
              </w:rPr>
              <w:fldChar w:fldCharType="begin"/>
            </w:r>
            <w:r>
              <w:rPr>
                <w:noProof/>
                <w:webHidden/>
              </w:rPr>
              <w:instrText xml:space="preserve"> PAGEREF _Toc217040722 \h </w:instrText>
            </w:r>
            <w:r>
              <w:rPr>
                <w:noProof/>
                <w:webHidden/>
              </w:rPr>
            </w:r>
            <w:r>
              <w:rPr>
                <w:noProof/>
                <w:webHidden/>
              </w:rPr>
              <w:fldChar w:fldCharType="separate"/>
            </w:r>
            <w:r>
              <w:rPr>
                <w:noProof/>
                <w:webHidden/>
              </w:rPr>
              <w:t>88</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23" w:history="1">
            <w:r w:rsidRPr="00C504E7">
              <w:rPr>
                <w:rStyle w:val="Hiperveza"/>
                <w:rFonts w:ascii="Times New Roman" w:hAnsi="Times New Roman" w:cs="Times New Roman"/>
                <w:b/>
                <w:bCs/>
                <w:noProof/>
                <w:lang w:eastAsia="hr-HR"/>
              </w:rPr>
              <w:t>10.</w:t>
            </w:r>
            <w:r>
              <w:rPr>
                <w:rFonts w:eastAsiaTheme="minorEastAsia"/>
                <w:noProof/>
                <w:sz w:val="24"/>
                <w:szCs w:val="24"/>
                <w:lang w:eastAsia="hr-HR"/>
              </w:rPr>
              <w:tab/>
            </w:r>
            <w:r w:rsidRPr="00C504E7">
              <w:rPr>
                <w:rStyle w:val="Hiperveza"/>
                <w:rFonts w:ascii="Times New Roman" w:eastAsia="Times New Roman" w:hAnsi="Times New Roman" w:cs="Times New Roman"/>
                <w:b/>
                <w:bCs/>
                <w:noProof/>
                <w:lang w:eastAsia="hr-HR"/>
              </w:rPr>
              <w:t>SPECIFIČNI POKAZATELJI ODRŽIVOSTI KOJI MJERE UTJECAJ TURIZMA NA DRUŠTVENE ASPEKTE ODRŽIVOSTI</w:t>
            </w:r>
            <w:r>
              <w:rPr>
                <w:noProof/>
                <w:webHidden/>
              </w:rPr>
              <w:tab/>
            </w:r>
            <w:r>
              <w:rPr>
                <w:noProof/>
                <w:webHidden/>
              </w:rPr>
              <w:fldChar w:fldCharType="begin"/>
            </w:r>
            <w:r>
              <w:rPr>
                <w:noProof/>
                <w:webHidden/>
              </w:rPr>
              <w:instrText xml:space="preserve"> PAGEREF _Toc217040723 \h </w:instrText>
            </w:r>
            <w:r>
              <w:rPr>
                <w:noProof/>
                <w:webHidden/>
              </w:rPr>
            </w:r>
            <w:r>
              <w:rPr>
                <w:noProof/>
                <w:webHidden/>
              </w:rPr>
              <w:fldChar w:fldCharType="separate"/>
            </w:r>
            <w:r>
              <w:rPr>
                <w:noProof/>
                <w:webHidden/>
              </w:rPr>
              <w:t>90</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4" w:history="1">
            <w:r w:rsidRPr="00C504E7">
              <w:rPr>
                <w:rStyle w:val="Hiperveza"/>
                <w:rFonts w:ascii="Times New Roman" w:hAnsi="Times New Roman" w:cs="Times New Roman"/>
                <w:noProof/>
                <w:lang w:eastAsia="hr-HR"/>
              </w:rPr>
              <w:t>10.1.</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Zadovoljstvo lokalnog stanovništva turizmom</w:t>
            </w:r>
            <w:r>
              <w:rPr>
                <w:noProof/>
                <w:webHidden/>
              </w:rPr>
              <w:tab/>
            </w:r>
            <w:r>
              <w:rPr>
                <w:noProof/>
                <w:webHidden/>
              </w:rPr>
              <w:fldChar w:fldCharType="begin"/>
            </w:r>
            <w:r>
              <w:rPr>
                <w:noProof/>
                <w:webHidden/>
              </w:rPr>
              <w:instrText xml:space="preserve"> PAGEREF _Toc217040724 \h </w:instrText>
            </w:r>
            <w:r>
              <w:rPr>
                <w:noProof/>
                <w:webHidden/>
              </w:rPr>
            </w:r>
            <w:r>
              <w:rPr>
                <w:noProof/>
                <w:webHidden/>
              </w:rPr>
              <w:fldChar w:fldCharType="separate"/>
            </w:r>
            <w:r>
              <w:rPr>
                <w:noProof/>
                <w:webHidden/>
              </w:rPr>
              <w:t>90</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5" w:history="1">
            <w:r w:rsidRPr="00C504E7">
              <w:rPr>
                <w:rStyle w:val="Hiperveza"/>
                <w:rFonts w:ascii="Times New Roman" w:hAnsi="Times New Roman" w:cs="Times New Roman"/>
                <w:noProof/>
                <w:lang w:eastAsia="hr-HR"/>
              </w:rPr>
              <w:t>10.2.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Zadovoljstvo turista i jednodnevnih posjetitelja destinacijom</w:t>
            </w:r>
            <w:r>
              <w:rPr>
                <w:noProof/>
                <w:webHidden/>
              </w:rPr>
              <w:tab/>
            </w:r>
            <w:r>
              <w:rPr>
                <w:noProof/>
                <w:webHidden/>
              </w:rPr>
              <w:fldChar w:fldCharType="begin"/>
            </w:r>
            <w:r>
              <w:rPr>
                <w:noProof/>
                <w:webHidden/>
              </w:rPr>
              <w:instrText xml:space="preserve"> PAGEREF _Toc217040725 \h </w:instrText>
            </w:r>
            <w:r>
              <w:rPr>
                <w:noProof/>
                <w:webHidden/>
              </w:rPr>
            </w:r>
            <w:r>
              <w:rPr>
                <w:noProof/>
                <w:webHidden/>
              </w:rPr>
              <w:fldChar w:fldCharType="separate"/>
            </w:r>
            <w:r>
              <w:rPr>
                <w:noProof/>
                <w:webHidden/>
              </w:rPr>
              <w:t>97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6" w:history="1">
            <w:r w:rsidRPr="00C504E7">
              <w:rPr>
                <w:rStyle w:val="Hiperveza"/>
                <w:rFonts w:ascii="Times New Roman" w:hAnsi="Times New Roman" w:cs="Times New Roman"/>
                <w:noProof/>
                <w:lang w:eastAsia="hr-HR"/>
              </w:rPr>
              <w:t>10.3.</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Pristupačnost destinacije</w:t>
            </w:r>
            <w:r>
              <w:rPr>
                <w:noProof/>
                <w:webHidden/>
              </w:rPr>
              <w:tab/>
            </w:r>
            <w:r>
              <w:rPr>
                <w:noProof/>
                <w:webHidden/>
              </w:rPr>
              <w:fldChar w:fldCharType="begin"/>
            </w:r>
            <w:r>
              <w:rPr>
                <w:noProof/>
                <w:webHidden/>
              </w:rPr>
              <w:instrText xml:space="preserve"> PAGEREF _Toc217040726 \h </w:instrText>
            </w:r>
            <w:r>
              <w:rPr>
                <w:noProof/>
                <w:webHidden/>
              </w:rPr>
            </w:r>
            <w:r>
              <w:rPr>
                <w:noProof/>
                <w:webHidden/>
              </w:rPr>
              <w:fldChar w:fldCharType="separate"/>
            </w:r>
            <w:r>
              <w:rPr>
                <w:noProof/>
                <w:webHidden/>
              </w:rPr>
              <w:t>99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7" w:history="1">
            <w:r w:rsidRPr="00C504E7">
              <w:rPr>
                <w:rStyle w:val="Hiperveza"/>
                <w:rFonts w:ascii="Times New Roman" w:hAnsi="Times New Roman" w:cs="Times New Roman"/>
                <w:noProof/>
                <w:lang w:eastAsia="hr-HR"/>
              </w:rPr>
              <w:t>10.4.</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Sigurnost destinacije</w:t>
            </w:r>
            <w:r>
              <w:rPr>
                <w:noProof/>
                <w:webHidden/>
              </w:rPr>
              <w:tab/>
            </w:r>
            <w:r>
              <w:rPr>
                <w:noProof/>
                <w:webHidden/>
              </w:rPr>
              <w:fldChar w:fldCharType="begin"/>
            </w:r>
            <w:r>
              <w:rPr>
                <w:noProof/>
                <w:webHidden/>
              </w:rPr>
              <w:instrText xml:space="preserve"> PAGEREF _Toc217040727 \h </w:instrText>
            </w:r>
            <w:r>
              <w:rPr>
                <w:noProof/>
                <w:webHidden/>
              </w:rPr>
            </w:r>
            <w:r>
              <w:rPr>
                <w:noProof/>
                <w:webHidden/>
              </w:rPr>
              <w:fldChar w:fldCharType="separate"/>
            </w:r>
            <w:r>
              <w:rPr>
                <w:noProof/>
                <w:webHidden/>
              </w:rPr>
              <w:t>105</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28" w:history="1">
            <w:r w:rsidRPr="00C504E7">
              <w:rPr>
                <w:rStyle w:val="Hiperveza"/>
                <w:rFonts w:ascii="Times New Roman" w:hAnsi="Times New Roman" w:cs="Times New Roman"/>
                <w:b/>
                <w:bCs/>
                <w:noProof/>
                <w:lang w:eastAsia="hr-HR"/>
              </w:rPr>
              <w:t>11.</w:t>
            </w:r>
            <w:r>
              <w:rPr>
                <w:rFonts w:eastAsiaTheme="minorEastAsia"/>
                <w:noProof/>
                <w:sz w:val="24"/>
                <w:szCs w:val="24"/>
                <w:lang w:eastAsia="hr-HR"/>
              </w:rPr>
              <w:tab/>
            </w:r>
            <w:r w:rsidRPr="00C504E7">
              <w:rPr>
                <w:rStyle w:val="Hiperveza"/>
                <w:rFonts w:ascii="Times New Roman" w:eastAsia="Times New Roman" w:hAnsi="Times New Roman" w:cs="Times New Roman"/>
                <w:b/>
                <w:bCs/>
                <w:noProof/>
                <w:lang w:eastAsia="hr-HR"/>
              </w:rPr>
              <w:t>SPECIFIČNI POKAZATELJI ODRŽIVOSTI KOJI MJERE UTJECAJ TURIZMA NA OKOLIŠNE ASPEKTE ODRŽIVOSTI</w:t>
            </w:r>
            <w:r>
              <w:rPr>
                <w:noProof/>
                <w:webHidden/>
              </w:rPr>
              <w:tab/>
            </w:r>
            <w:r>
              <w:rPr>
                <w:noProof/>
                <w:webHidden/>
              </w:rPr>
              <w:fldChar w:fldCharType="begin"/>
            </w:r>
            <w:r>
              <w:rPr>
                <w:noProof/>
                <w:webHidden/>
              </w:rPr>
              <w:instrText xml:space="preserve"> PAGEREF _Toc217040728 \h </w:instrText>
            </w:r>
            <w:r>
              <w:rPr>
                <w:noProof/>
                <w:webHidden/>
              </w:rPr>
            </w:r>
            <w:r>
              <w:rPr>
                <w:noProof/>
                <w:webHidden/>
              </w:rPr>
              <w:fldChar w:fldCharType="separate"/>
            </w:r>
            <w:r>
              <w:rPr>
                <w:noProof/>
                <w:webHidden/>
              </w:rPr>
              <w:t>115</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29" w:history="1">
            <w:r w:rsidRPr="00C504E7">
              <w:rPr>
                <w:rStyle w:val="Hiperveza"/>
                <w:rFonts w:ascii="Times New Roman" w:hAnsi="Times New Roman" w:cs="Times New Roman"/>
                <w:noProof/>
                <w:lang w:eastAsia="hr-HR"/>
              </w:rPr>
              <w:t>11.1.</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Upravljanje vodnim resursima</w:t>
            </w:r>
            <w:r>
              <w:rPr>
                <w:noProof/>
                <w:webHidden/>
              </w:rPr>
              <w:tab/>
            </w:r>
            <w:r>
              <w:rPr>
                <w:noProof/>
                <w:webHidden/>
              </w:rPr>
              <w:fldChar w:fldCharType="begin"/>
            </w:r>
            <w:r>
              <w:rPr>
                <w:noProof/>
                <w:webHidden/>
              </w:rPr>
              <w:instrText xml:space="preserve"> PAGEREF _Toc217040729 \h </w:instrText>
            </w:r>
            <w:r>
              <w:rPr>
                <w:noProof/>
                <w:webHidden/>
              </w:rPr>
            </w:r>
            <w:r>
              <w:rPr>
                <w:noProof/>
                <w:webHidden/>
              </w:rPr>
              <w:fldChar w:fldCharType="separate"/>
            </w:r>
            <w:r>
              <w:rPr>
                <w:noProof/>
                <w:webHidden/>
              </w:rPr>
              <w:t>115</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0" w:history="1">
            <w:r w:rsidRPr="00C504E7">
              <w:rPr>
                <w:rStyle w:val="Hiperveza"/>
                <w:rFonts w:ascii="Times New Roman" w:hAnsi="Times New Roman" w:cs="Times New Roman"/>
                <w:noProof/>
                <w:lang w:eastAsia="hr-HR"/>
              </w:rPr>
              <w:t>11.2.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Gospodarenje otpadnim vodama</w:t>
            </w:r>
            <w:r>
              <w:rPr>
                <w:noProof/>
                <w:webHidden/>
              </w:rPr>
              <w:tab/>
            </w:r>
            <w:r>
              <w:rPr>
                <w:noProof/>
                <w:webHidden/>
              </w:rPr>
              <w:fldChar w:fldCharType="begin"/>
            </w:r>
            <w:r>
              <w:rPr>
                <w:noProof/>
                <w:webHidden/>
              </w:rPr>
              <w:instrText xml:space="preserve"> PAGEREF _Toc217040730 \h </w:instrText>
            </w:r>
            <w:r>
              <w:rPr>
                <w:noProof/>
                <w:webHidden/>
              </w:rPr>
            </w:r>
            <w:r>
              <w:rPr>
                <w:noProof/>
                <w:webHidden/>
              </w:rPr>
              <w:fldChar w:fldCharType="separate"/>
            </w:r>
            <w:r>
              <w:rPr>
                <w:noProof/>
                <w:webHidden/>
              </w:rPr>
              <w:t>119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1" w:history="1">
            <w:r w:rsidRPr="00C504E7">
              <w:rPr>
                <w:rStyle w:val="Hiperveza"/>
                <w:rFonts w:ascii="Times New Roman" w:hAnsi="Times New Roman" w:cs="Times New Roman"/>
                <w:noProof/>
                <w:lang w:eastAsia="hr-HR"/>
              </w:rPr>
              <w:t>11.3.</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Gospodarenje otpadom</w:t>
            </w:r>
            <w:r>
              <w:rPr>
                <w:noProof/>
                <w:webHidden/>
              </w:rPr>
              <w:tab/>
            </w:r>
            <w:r>
              <w:rPr>
                <w:noProof/>
                <w:webHidden/>
              </w:rPr>
              <w:fldChar w:fldCharType="begin"/>
            </w:r>
            <w:r>
              <w:rPr>
                <w:noProof/>
                <w:webHidden/>
              </w:rPr>
              <w:instrText xml:space="preserve"> PAGEREF _Toc217040731 \h </w:instrText>
            </w:r>
            <w:r>
              <w:rPr>
                <w:noProof/>
                <w:webHidden/>
              </w:rPr>
            </w:r>
            <w:r>
              <w:rPr>
                <w:noProof/>
                <w:webHidden/>
              </w:rPr>
              <w:fldChar w:fldCharType="separate"/>
            </w:r>
            <w:r>
              <w:rPr>
                <w:noProof/>
                <w:webHidden/>
              </w:rPr>
              <w:t>127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2" w:history="1">
            <w:r w:rsidRPr="00C504E7">
              <w:rPr>
                <w:rStyle w:val="Hiperveza"/>
                <w:rFonts w:ascii="Times New Roman" w:hAnsi="Times New Roman" w:cs="Times New Roman"/>
                <w:noProof/>
                <w:lang w:eastAsia="hr-HR"/>
              </w:rPr>
              <w:t>11.4.</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Zaštita bioraznolikosti</w:t>
            </w:r>
            <w:r>
              <w:rPr>
                <w:noProof/>
                <w:webHidden/>
              </w:rPr>
              <w:tab/>
            </w:r>
            <w:r>
              <w:rPr>
                <w:noProof/>
                <w:webHidden/>
              </w:rPr>
              <w:fldChar w:fldCharType="begin"/>
            </w:r>
            <w:r>
              <w:rPr>
                <w:noProof/>
                <w:webHidden/>
              </w:rPr>
              <w:instrText xml:space="preserve"> PAGEREF _Toc217040732 \h </w:instrText>
            </w:r>
            <w:r>
              <w:rPr>
                <w:noProof/>
                <w:webHidden/>
              </w:rPr>
            </w:r>
            <w:r>
              <w:rPr>
                <w:noProof/>
                <w:webHidden/>
              </w:rPr>
              <w:fldChar w:fldCharType="separate"/>
            </w:r>
            <w:r>
              <w:rPr>
                <w:noProof/>
                <w:webHidden/>
              </w:rPr>
              <w:t>137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3" w:history="1">
            <w:r w:rsidRPr="00C504E7">
              <w:rPr>
                <w:rStyle w:val="Hiperveza"/>
                <w:rFonts w:ascii="Times New Roman" w:hAnsi="Times New Roman" w:cs="Times New Roman"/>
                <w:noProof/>
                <w:lang w:eastAsia="hr-HR"/>
              </w:rPr>
              <w:t>11.5.</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Održivo upravljanje energijom</w:t>
            </w:r>
            <w:r>
              <w:rPr>
                <w:noProof/>
                <w:webHidden/>
              </w:rPr>
              <w:tab/>
            </w:r>
            <w:r>
              <w:rPr>
                <w:noProof/>
                <w:webHidden/>
              </w:rPr>
              <w:fldChar w:fldCharType="begin"/>
            </w:r>
            <w:r>
              <w:rPr>
                <w:noProof/>
                <w:webHidden/>
              </w:rPr>
              <w:instrText xml:space="preserve"> PAGEREF _Toc217040733 \h </w:instrText>
            </w:r>
            <w:r>
              <w:rPr>
                <w:noProof/>
                <w:webHidden/>
              </w:rPr>
            </w:r>
            <w:r>
              <w:rPr>
                <w:noProof/>
                <w:webHidden/>
              </w:rPr>
              <w:fldChar w:fldCharType="separate"/>
            </w:r>
            <w:r>
              <w:rPr>
                <w:noProof/>
                <w:webHidden/>
              </w:rPr>
              <w:t>140</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4" w:history="1">
            <w:r w:rsidRPr="00C504E7">
              <w:rPr>
                <w:rStyle w:val="Hiperveza"/>
                <w:rFonts w:ascii="Times New Roman" w:hAnsi="Times New Roman" w:cs="Times New Roman"/>
                <w:noProof/>
                <w:lang w:eastAsia="hr-HR"/>
              </w:rPr>
              <w:t>11.6.</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Ublažavanje i prilagodba klimatskim promjenama</w:t>
            </w:r>
            <w:r>
              <w:rPr>
                <w:noProof/>
                <w:webHidden/>
              </w:rPr>
              <w:tab/>
            </w:r>
            <w:r>
              <w:rPr>
                <w:noProof/>
                <w:webHidden/>
              </w:rPr>
              <w:fldChar w:fldCharType="begin"/>
            </w:r>
            <w:r>
              <w:rPr>
                <w:noProof/>
                <w:webHidden/>
              </w:rPr>
              <w:instrText xml:space="preserve"> PAGEREF _Toc217040734 \h </w:instrText>
            </w:r>
            <w:r>
              <w:rPr>
                <w:noProof/>
                <w:webHidden/>
              </w:rPr>
            </w:r>
            <w:r>
              <w:rPr>
                <w:noProof/>
                <w:webHidden/>
              </w:rPr>
              <w:fldChar w:fldCharType="separate"/>
            </w:r>
            <w:r>
              <w:rPr>
                <w:noProof/>
                <w:webHidden/>
              </w:rPr>
              <w:t>145</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35" w:history="1">
            <w:r w:rsidRPr="00C504E7">
              <w:rPr>
                <w:rStyle w:val="Hiperveza"/>
                <w:rFonts w:ascii="Times New Roman" w:hAnsi="Times New Roman" w:cs="Times New Roman"/>
                <w:b/>
                <w:bCs/>
                <w:noProof/>
                <w:kern w:val="0"/>
                <w:lang w:eastAsia="hr-HR"/>
                <w14:ligatures w14:val="none"/>
              </w:rPr>
              <w:t>12.</w:t>
            </w:r>
            <w:r>
              <w:rPr>
                <w:rFonts w:eastAsiaTheme="minorEastAsia"/>
                <w:noProof/>
                <w:sz w:val="24"/>
                <w:szCs w:val="24"/>
                <w:lang w:eastAsia="hr-HR"/>
              </w:rPr>
              <w:tab/>
            </w:r>
            <w:r w:rsidRPr="00C504E7">
              <w:rPr>
                <w:rStyle w:val="Hiperveza"/>
                <w:rFonts w:ascii="Times New Roman" w:hAnsi="Times New Roman" w:cs="Times New Roman"/>
                <w:b/>
                <w:bCs/>
                <w:noProof/>
              </w:rPr>
              <w:t>SPECIFIČNI POKAZATELJI ODRŽIVOSTI KOJI MJERE UTJECAJ TURIZMA NA GOSPODARSKE ASPEKTE ODRŽIVOSTI</w:t>
            </w:r>
            <w:r>
              <w:rPr>
                <w:noProof/>
                <w:webHidden/>
              </w:rPr>
              <w:tab/>
            </w:r>
            <w:r>
              <w:rPr>
                <w:noProof/>
                <w:webHidden/>
              </w:rPr>
              <w:fldChar w:fldCharType="begin"/>
            </w:r>
            <w:r>
              <w:rPr>
                <w:noProof/>
                <w:webHidden/>
              </w:rPr>
              <w:instrText xml:space="preserve"> PAGEREF _Toc217040735 \h </w:instrText>
            </w:r>
            <w:r>
              <w:rPr>
                <w:noProof/>
                <w:webHidden/>
              </w:rPr>
            </w:r>
            <w:r>
              <w:rPr>
                <w:noProof/>
                <w:webHidden/>
              </w:rPr>
              <w:fldChar w:fldCharType="separate"/>
            </w:r>
            <w:r>
              <w:rPr>
                <w:noProof/>
                <w:webHidden/>
              </w:rPr>
              <w:t>151</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6" w:history="1">
            <w:r w:rsidRPr="00C504E7">
              <w:rPr>
                <w:rStyle w:val="Hiperveza"/>
                <w:rFonts w:ascii="Times New Roman" w:hAnsi="Times New Roman" w:cs="Times New Roman"/>
                <w:noProof/>
                <w:lang w:eastAsia="hr-HR"/>
              </w:rPr>
              <w:t>12.1.</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Turistički promet</w:t>
            </w:r>
            <w:r>
              <w:rPr>
                <w:noProof/>
                <w:webHidden/>
              </w:rPr>
              <w:tab/>
            </w:r>
            <w:r>
              <w:rPr>
                <w:noProof/>
                <w:webHidden/>
              </w:rPr>
              <w:fldChar w:fldCharType="begin"/>
            </w:r>
            <w:r>
              <w:rPr>
                <w:noProof/>
                <w:webHidden/>
              </w:rPr>
              <w:instrText xml:space="preserve"> PAGEREF _Toc217040736 \h </w:instrText>
            </w:r>
            <w:r>
              <w:rPr>
                <w:noProof/>
                <w:webHidden/>
              </w:rPr>
            </w:r>
            <w:r>
              <w:rPr>
                <w:noProof/>
                <w:webHidden/>
              </w:rPr>
              <w:fldChar w:fldCharType="separate"/>
            </w:r>
            <w:r>
              <w:rPr>
                <w:noProof/>
                <w:webHidden/>
              </w:rPr>
              <w:t>151</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7" w:history="1">
            <w:r w:rsidRPr="00C504E7">
              <w:rPr>
                <w:rStyle w:val="Hiperveza"/>
                <w:rFonts w:ascii="Times New Roman" w:hAnsi="Times New Roman" w:cs="Times New Roman"/>
                <w:noProof/>
                <w:lang w:eastAsia="hr-HR"/>
              </w:rPr>
              <w:t>12.2.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Poslovanje gospodarskih subjekata u turizmu</w:t>
            </w:r>
            <w:r>
              <w:rPr>
                <w:noProof/>
                <w:webHidden/>
              </w:rPr>
              <w:tab/>
            </w:r>
            <w:r>
              <w:rPr>
                <w:noProof/>
                <w:webHidden/>
              </w:rPr>
              <w:fldChar w:fldCharType="begin"/>
            </w:r>
            <w:r>
              <w:rPr>
                <w:noProof/>
                <w:webHidden/>
              </w:rPr>
              <w:instrText xml:space="preserve"> PAGEREF _Toc217040737 \h </w:instrText>
            </w:r>
            <w:r>
              <w:rPr>
                <w:noProof/>
                <w:webHidden/>
              </w:rPr>
            </w:r>
            <w:r>
              <w:rPr>
                <w:noProof/>
                <w:webHidden/>
              </w:rPr>
              <w:fldChar w:fldCharType="separate"/>
            </w:r>
            <w:r>
              <w:rPr>
                <w:noProof/>
                <w:webHidden/>
              </w:rPr>
              <w:t>155</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38" w:history="1">
            <w:r w:rsidRPr="00C504E7">
              <w:rPr>
                <w:rStyle w:val="Hiperveza"/>
                <w:rFonts w:ascii="Times New Roman" w:hAnsi="Times New Roman" w:cs="Times New Roman"/>
                <w:b/>
                <w:bCs/>
                <w:noProof/>
                <w:lang w:eastAsia="hr-HR"/>
              </w:rPr>
              <w:t>13.</w:t>
            </w:r>
            <w:r>
              <w:rPr>
                <w:rFonts w:eastAsiaTheme="minorEastAsia"/>
                <w:noProof/>
                <w:sz w:val="24"/>
                <w:szCs w:val="24"/>
                <w:lang w:eastAsia="hr-HR"/>
              </w:rPr>
              <w:tab/>
            </w:r>
            <w:r w:rsidRPr="00C504E7">
              <w:rPr>
                <w:rStyle w:val="Hiperveza"/>
                <w:rFonts w:ascii="Times New Roman" w:eastAsia="Times New Roman" w:hAnsi="Times New Roman" w:cs="Times New Roman"/>
                <w:b/>
                <w:bCs/>
                <w:noProof/>
                <w:lang w:eastAsia="hr-HR"/>
              </w:rPr>
              <w:t>SPECIFIČNI POKAZATELJI ODRŽIVOSTI KOJI MJERE UTJECAJ TURIZMA NA PROSTORNE ASPEKTE ODRŽIVOSTI DESTINACIJE</w:t>
            </w:r>
            <w:r>
              <w:rPr>
                <w:noProof/>
                <w:webHidden/>
              </w:rPr>
              <w:tab/>
            </w:r>
            <w:r>
              <w:rPr>
                <w:noProof/>
                <w:webHidden/>
              </w:rPr>
              <w:fldChar w:fldCharType="begin"/>
            </w:r>
            <w:r>
              <w:rPr>
                <w:noProof/>
                <w:webHidden/>
              </w:rPr>
              <w:instrText xml:space="preserve"> PAGEREF _Toc217040738 \h </w:instrText>
            </w:r>
            <w:r>
              <w:rPr>
                <w:noProof/>
                <w:webHidden/>
              </w:rPr>
            </w:r>
            <w:r>
              <w:rPr>
                <w:noProof/>
                <w:webHidden/>
              </w:rPr>
              <w:fldChar w:fldCharType="separate"/>
            </w:r>
            <w:r>
              <w:rPr>
                <w:noProof/>
                <w:webHidden/>
              </w:rPr>
              <w:t>170</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39" w:history="1">
            <w:r w:rsidRPr="00C504E7">
              <w:rPr>
                <w:rStyle w:val="Hiperveza"/>
                <w:rFonts w:ascii="Times New Roman" w:hAnsi="Times New Roman" w:cs="Times New Roman"/>
                <w:noProof/>
                <w:lang w:eastAsia="hr-HR"/>
              </w:rPr>
              <w:t>13.1.</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Turistička infrastruktura</w:t>
            </w:r>
            <w:r>
              <w:rPr>
                <w:noProof/>
                <w:webHidden/>
              </w:rPr>
              <w:tab/>
            </w:r>
            <w:r>
              <w:rPr>
                <w:noProof/>
                <w:webHidden/>
              </w:rPr>
              <w:fldChar w:fldCharType="begin"/>
            </w:r>
            <w:r>
              <w:rPr>
                <w:noProof/>
                <w:webHidden/>
              </w:rPr>
              <w:instrText xml:space="preserve"> PAGEREF _Toc217040739 \h </w:instrText>
            </w:r>
            <w:r>
              <w:rPr>
                <w:noProof/>
                <w:webHidden/>
              </w:rPr>
            </w:r>
            <w:r>
              <w:rPr>
                <w:noProof/>
                <w:webHidden/>
              </w:rPr>
              <w:fldChar w:fldCharType="separate"/>
            </w:r>
            <w:r>
              <w:rPr>
                <w:noProof/>
                <w:webHidden/>
              </w:rPr>
              <w:t>170</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0" w:history="1">
            <w:r w:rsidRPr="00C504E7">
              <w:rPr>
                <w:rStyle w:val="Hiperveza"/>
                <w:rFonts w:ascii="Times New Roman" w:hAnsi="Times New Roman" w:cs="Times New Roman"/>
                <w:noProof/>
                <w:lang w:eastAsia="hr-HR"/>
              </w:rPr>
              <w:t>13.2.</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Održivo upravljanje destinacijom</w:t>
            </w:r>
            <w:r>
              <w:rPr>
                <w:noProof/>
                <w:webHidden/>
              </w:rPr>
              <w:tab/>
            </w:r>
            <w:r>
              <w:rPr>
                <w:noProof/>
                <w:webHidden/>
              </w:rPr>
              <w:fldChar w:fldCharType="begin"/>
            </w:r>
            <w:r>
              <w:rPr>
                <w:noProof/>
                <w:webHidden/>
              </w:rPr>
              <w:instrText xml:space="preserve"> PAGEREF _Toc217040740 \h </w:instrText>
            </w:r>
            <w:r>
              <w:rPr>
                <w:noProof/>
                <w:webHidden/>
              </w:rPr>
            </w:r>
            <w:r>
              <w:rPr>
                <w:noProof/>
                <w:webHidden/>
              </w:rPr>
              <w:fldChar w:fldCharType="separate"/>
            </w:r>
            <w:r>
              <w:rPr>
                <w:noProof/>
                <w:webHidden/>
              </w:rPr>
              <w:t>172</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1" w:history="1">
            <w:r w:rsidRPr="00C504E7">
              <w:rPr>
                <w:rStyle w:val="Hiperveza"/>
                <w:rFonts w:ascii="Times New Roman" w:hAnsi="Times New Roman" w:cs="Times New Roman"/>
                <w:noProof/>
                <w:lang w:eastAsia="hr-HR"/>
              </w:rPr>
              <w:t>13.3.</w:t>
            </w:r>
            <w:r>
              <w:rPr>
                <w:rFonts w:eastAsiaTheme="minorEastAsia"/>
                <w:noProof/>
                <w:sz w:val="24"/>
                <w:szCs w:val="24"/>
                <w:lang w:eastAsia="hr-HR"/>
              </w:rPr>
              <w:tab/>
            </w:r>
            <w:r w:rsidRPr="00C504E7">
              <w:rPr>
                <w:rStyle w:val="Hiperveza"/>
                <w:rFonts w:ascii="Times New Roman" w:eastAsia="Times New Roman" w:hAnsi="Times New Roman" w:cs="Times New Roman"/>
                <w:noProof/>
                <w:lang w:eastAsia="hr-HR"/>
              </w:rPr>
              <w:t>Održivo upravljanje prostorom</w:t>
            </w:r>
            <w:r>
              <w:rPr>
                <w:noProof/>
                <w:webHidden/>
              </w:rPr>
              <w:tab/>
            </w:r>
            <w:r>
              <w:rPr>
                <w:noProof/>
                <w:webHidden/>
              </w:rPr>
              <w:fldChar w:fldCharType="begin"/>
            </w:r>
            <w:r>
              <w:rPr>
                <w:noProof/>
                <w:webHidden/>
              </w:rPr>
              <w:instrText xml:space="preserve"> PAGEREF _Toc217040741 \h </w:instrText>
            </w:r>
            <w:r>
              <w:rPr>
                <w:noProof/>
                <w:webHidden/>
              </w:rPr>
            </w:r>
            <w:r>
              <w:rPr>
                <w:noProof/>
                <w:webHidden/>
              </w:rPr>
              <w:fldChar w:fldCharType="separate"/>
            </w:r>
            <w:r>
              <w:rPr>
                <w:noProof/>
                <w:webHidden/>
              </w:rPr>
              <w:t>178</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42" w:history="1">
            <w:r w:rsidRPr="00C504E7">
              <w:rPr>
                <w:rStyle w:val="Hiperveza"/>
                <w:rFonts w:ascii="Times New Roman" w:hAnsi="Times New Roman" w:cs="Times New Roman"/>
                <w:b/>
                <w:bCs/>
                <w:noProof/>
              </w:rPr>
              <w:t>14.</w:t>
            </w:r>
            <w:r>
              <w:rPr>
                <w:rFonts w:eastAsiaTheme="minorEastAsia"/>
                <w:noProof/>
                <w:sz w:val="24"/>
                <w:szCs w:val="24"/>
                <w:lang w:eastAsia="hr-HR"/>
              </w:rPr>
              <w:tab/>
            </w:r>
            <w:r w:rsidRPr="00C504E7">
              <w:rPr>
                <w:rStyle w:val="Hiperveza"/>
                <w:rFonts w:ascii="Times New Roman" w:hAnsi="Times New Roman" w:cs="Times New Roman"/>
                <w:b/>
                <w:bCs/>
                <w:noProof/>
              </w:rPr>
              <w:t>RAZVOJNI SMJER S MJERAMA I AKTIVNOSTIMA</w:t>
            </w:r>
            <w:r>
              <w:rPr>
                <w:noProof/>
                <w:webHidden/>
              </w:rPr>
              <w:tab/>
            </w:r>
            <w:r>
              <w:rPr>
                <w:noProof/>
                <w:webHidden/>
              </w:rPr>
              <w:fldChar w:fldCharType="begin"/>
            </w:r>
            <w:r>
              <w:rPr>
                <w:noProof/>
                <w:webHidden/>
              </w:rPr>
              <w:instrText xml:space="preserve"> PAGEREF _Toc217040742 \h </w:instrText>
            </w:r>
            <w:r>
              <w:rPr>
                <w:noProof/>
                <w:webHidden/>
              </w:rPr>
            </w:r>
            <w:r>
              <w:rPr>
                <w:noProof/>
                <w:webHidden/>
              </w:rPr>
              <w:fldChar w:fldCharType="separate"/>
            </w:r>
            <w:r>
              <w:rPr>
                <w:noProof/>
                <w:webHidden/>
              </w:rPr>
              <w:t>188</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3" w:history="1">
            <w:r w:rsidRPr="00C504E7">
              <w:rPr>
                <w:rStyle w:val="Hiperveza"/>
                <w:rFonts w:ascii="Times New Roman" w:hAnsi="Times New Roman" w:cs="Times New Roman"/>
                <w:noProof/>
              </w:rPr>
              <w:t>14.1.</w:t>
            </w:r>
            <w:r>
              <w:rPr>
                <w:rFonts w:eastAsiaTheme="minorEastAsia"/>
                <w:noProof/>
                <w:sz w:val="24"/>
                <w:szCs w:val="24"/>
                <w:lang w:eastAsia="hr-HR"/>
              </w:rPr>
              <w:tab/>
            </w:r>
            <w:r w:rsidRPr="00C504E7">
              <w:rPr>
                <w:rStyle w:val="Hiperveza"/>
                <w:rFonts w:ascii="Times New Roman" w:hAnsi="Times New Roman" w:cs="Times New Roman"/>
                <w:noProof/>
              </w:rPr>
              <w:t>SWOT analiza</w:t>
            </w:r>
            <w:r>
              <w:rPr>
                <w:noProof/>
                <w:webHidden/>
              </w:rPr>
              <w:tab/>
            </w:r>
            <w:r>
              <w:rPr>
                <w:noProof/>
                <w:webHidden/>
              </w:rPr>
              <w:fldChar w:fldCharType="begin"/>
            </w:r>
            <w:r>
              <w:rPr>
                <w:noProof/>
                <w:webHidden/>
              </w:rPr>
              <w:instrText xml:space="preserve"> PAGEREF _Toc217040743 \h </w:instrText>
            </w:r>
            <w:r>
              <w:rPr>
                <w:noProof/>
                <w:webHidden/>
              </w:rPr>
            </w:r>
            <w:r>
              <w:rPr>
                <w:noProof/>
                <w:webHidden/>
              </w:rPr>
              <w:fldChar w:fldCharType="separate"/>
            </w:r>
            <w:r>
              <w:rPr>
                <w:noProof/>
                <w:webHidden/>
              </w:rPr>
              <w:t>189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4" w:history="1">
            <w:r w:rsidRPr="00C504E7">
              <w:rPr>
                <w:rStyle w:val="Hiperveza"/>
                <w:rFonts w:ascii="Times New Roman" w:hAnsi="Times New Roman" w:cs="Times New Roman"/>
                <w:noProof/>
              </w:rPr>
              <w:t>14.2.</w:t>
            </w:r>
            <w:r>
              <w:rPr>
                <w:rFonts w:eastAsiaTheme="minorEastAsia"/>
                <w:noProof/>
                <w:sz w:val="24"/>
                <w:szCs w:val="24"/>
                <w:lang w:eastAsia="hr-HR"/>
              </w:rPr>
              <w:tab/>
            </w:r>
            <w:r w:rsidRPr="00C504E7">
              <w:rPr>
                <w:rStyle w:val="Hiperveza"/>
                <w:rFonts w:ascii="Times New Roman" w:hAnsi="Times New Roman" w:cs="Times New Roman"/>
                <w:noProof/>
              </w:rPr>
              <w:t>Identificiranje općih načela i ciljeva turizma</w:t>
            </w:r>
            <w:r>
              <w:rPr>
                <w:noProof/>
                <w:webHidden/>
              </w:rPr>
              <w:tab/>
            </w:r>
            <w:r>
              <w:rPr>
                <w:noProof/>
                <w:webHidden/>
              </w:rPr>
              <w:fldChar w:fldCharType="begin"/>
            </w:r>
            <w:r>
              <w:rPr>
                <w:noProof/>
                <w:webHidden/>
              </w:rPr>
              <w:instrText xml:space="preserve"> PAGEREF _Toc217040744 \h </w:instrText>
            </w:r>
            <w:r>
              <w:rPr>
                <w:noProof/>
                <w:webHidden/>
              </w:rPr>
            </w:r>
            <w:r>
              <w:rPr>
                <w:noProof/>
                <w:webHidden/>
              </w:rPr>
              <w:fldChar w:fldCharType="separate"/>
            </w:r>
            <w:r>
              <w:rPr>
                <w:noProof/>
                <w:webHidden/>
              </w:rPr>
              <w:t>189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5" w:history="1">
            <w:r w:rsidRPr="00C504E7">
              <w:rPr>
                <w:rStyle w:val="Hiperveza"/>
                <w:rFonts w:ascii="Times New Roman" w:hAnsi="Times New Roman" w:cs="Times New Roman"/>
                <w:noProof/>
              </w:rPr>
              <w:t>14.3.</w:t>
            </w:r>
            <w:r>
              <w:rPr>
                <w:rFonts w:eastAsiaTheme="minorEastAsia"/>
                <w:noProof/>
                <w:sz w:val="24"/>
                <w:szCs w:val="24"/>
                <w:lang w:eastAsia="hr-HR"/>
              </w:rPr>
              <w:tab/>
            </w:r>
            <w:r w:rsidRPr="00C504E7">
              <w:rPr>
                <w:rStyle w:val="Hiperveza"/>
                <w:rFonts w:ascii="Times New Roman" w:hAnsi="Times New Roman" w:cs="Times New Roman"/>
                <w:noProof/>
              </w:rPr>
              <w:t>Oblikovanje strateškog pravca i prioriteta</w:t>
            </w:r>
            <w:r>
              <w:rPr>
                <w:noProof/>
                <w:webHidden/>
              </w:rPr>
              <w:tab/>
            </w:r>
            <w:r>
              <w:rPr>
                <w:noProof/>
                <w:webHidden/>
              </w:rPr>
              <w:fldChar w:fldCharType="begin"/>
            </w:r>
            <w:r>
              <w:rPr>
                <w:noProof/>
                <w:webHidden/>
              </w:rPr>
              <w:instrText xml:space="preserve"> PAGEREF _Toc217040745 \h </w:instrText>
            </w:r>
            <w:r>
              <w:rPr>
                <w:noProof/>
                <w:webHidden/>
              </w:rPr>
            </w:r>
            <w:r>
              <w:rPr>
                <w:noProof/>
                <w:webHidden/>
              </w:rPr>
              <w:fldChar w:fldCharType="separate"/>
            </w:r>
            <w:r>
              <w:rPr>
                <w:noProof/>
                <w:webHidden/>
              </w:rPr>
              <w:t>191</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6" w:history="1">
            <w:r w:rsidRPr="00C504E7">
              <w:rPr>
                <w:rStyle w:val="Hiperveza"/>
                <w:rFonts w:ascii="Times New Roman" w:hAnsi="Times New Roman" w:cs="Times New Roman"/>
                <w:noProof/>
              </w:rPr>
              <w:t>14.4.</w:t>
            </w:r>
            <w:r>
              <w:rPr>
                <w:rFonts w:eastAsiaTheme="minorEastAsia"/>
                <w:noProof/>
                <w:sz w:val="24"/>
                <w:szCs w:val="24"/>
                <w:lang w:eastAsia="hr-HR"/>
              </w:rPr>
              <w:tab/>
            </w:r>
            <w:r w:rsidRPr="00C504E7">
              <w:rPr>
                <w:rStyle w:val="Hiperveza"/>
                <w:rFonts w:ascii="Times New Roman" w:hAnsi="Times New Roman" w:cs="Times New Roman"/>
                <w:noProof/>
              </w:rPr>
              <w:t>Identificiranje ciljeva i aktivnosti</w:t>
            </w:r>
            <w:r>
              <w:rPr>
                <w:noProof/>
                <w:webHidden/>
              </w:rPr>
              <w:tab/>
            </w:r>
            <w:r>
              <w:rPr>
                <w:noProof/>
                <w:webHidden/>
              </w:rPr>
              <w:fldChar w:fldCharType="begin"/>
            </w:r>
            <w:r>
              <w:rPr>
                <w:noProof/>
                <w:webHidden/>
              </w:rPr>
              <w:instrText xml:space="preserve"> PAGEREF _Toc217040746 \h </w:instrText>
            </w:r>
            <w:r>
              <w:rPr>
                <w:noProof/>
                <w:webHidden/>
              </w:rPr>
            </w:r>
            <w:r>
              <w:rPr>
                <w:noProof/>
                <w:webHidden/>
              </w:rPr>
              <w:fldChar w:fldCharType="separate"/>
            </w:r>
            <w:r>
              <w:rPr>
                <w:noProof/>
                <w:webHidden/>
              </w:rPr>
              <w:t>193</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7" w:history="1">
            <w:r w:rsidRPr="00C504E7">
              <w:rPr>
                <w:rStyle w:val="Hiperveza"/>
                <w:noProof/>
              </w:rPr>
              <w:t>14.5.</w:t>
            </w:r>
            <w:r>
              <w:rPr>
                <w:rFonts w:eastAsiaTheme="minorEastAsia"/>
                <w:noProof/>
                <w:sz w:val="24"/>
                <w:szCs w:val="24"/>
                <w:lang w:eastAsia="hr-HR"/>
              </w:rPr>
              <w:tab/>
            </w:r>
            <w:r w:rsidRPr="00C504E7">
              <w:rPr>
                <w:rStyle w:val="Hiperveza"/>
                <w:noProof/>
              </w:rPr>
              <w:t>Mjere i aktivnosti</w:t>
            </w:r>
            <w:r>
              <w:rPr>
                <w:noProof/>
                <w:webHidden/>
              </w:rPr>
              <w:tab/>
            </w:r>
            <w:r>
              <w:rPr>
                <w:noProof/>
                <w:webHidden/>
              </w:rPr>
              <w:fldChar w:fldCharType="begin"/>
            </w:r>
            <w:r>
              <w:rPr>
                <w:noProof/>
                <w:webHidden/>
              </w:rPr>
              <w:instrText xml:space="preserve"> PAGEREF _Toc217040747 \h </w:instrText>
            </w:r>
            <w:r>
              <w:rPr>
                <w:noProof/>
                <w:webHidden/>
              </w:rPr>
            </w:r>
            <w:r>
              <w:rPr>
                <w:noProof/>
                <w:webHidden/>
              </w:rPr>
              <w:fldChar w:fldCharType="separate"/>
            </w:r>
            <w:r>
              <w:rPr>
                <w:noProof/>
                <w:webHidden/>
              </w:rPr>
              <w:t>195</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48" w:history="1">
            <w:r w:rsidRPr="00C504E7">
              <w:rPr>
                <w:rStyle w:val="Hiperveza"/>
                <w:rFonts w:ascii="Times New Roman" w:hAnsi="Times New Roman" w:cs="Times New Roman"/>
                <w:noProof/>
              </w:rPr>
              <w:t>14.6.</w:t>
            </w:r>
            <w:r>
              <w:rPr>
                <w:rFonts w:eastAsiaTheme="minorEastAsia"/>
                <w:noProof/>
                <w:sz w:val="24"/>
                <w:szCs w:val="24"/>
                <w:lang w:eastAsia="hr-HR"/>
              </w:rPr>
              <w:tab/>
            </w:r>
            <w:r w:rsidRPr="00C504E7">
              <w:rPr>
                <w:rStyle w:val="Hiperveza"/>
                <w:rFonts w:ascii="Times New Roman" w:hAnsi="Times New Roman" w:cs="Times New Roman"/>
                <w:noProof/>
              </w:rPr>
              <w:t>Financijski okvir provedbe mjera i aktivnosti</w:t>
            </w:r>
            <w:r>
              <w:rPr>
                <w:noProof/>
                <w:webHidden/>
              </w:rPr>
              <w:tab/>
            </w:r>
            <w:r>
              <w:rPr>
                <w:noProof/>
                <w:webHidden/>
              </w:rPr>
              <w:fldChar w:fldCharType="begin"/>
            </w:r>
            <w:r>
              <w:rPr>
                <w:noProof/>
                <w:webHidden/>
              </w:rPr>
              <w:instrText xml:space="preserve"> PAGEREF _Toc217040748 \h </w:instrText>
            </w:r>
            <w:r>
              <w:rPr>
                <w:noProof/>
                <w:webHidden/>
              </w:rPr>
            </w:r>
            <w:r>
              <w:rPr>
                <w:noProof/>
                <w:webHidden/>
              </w:rPr>
              <w:fldChar w:fldCharType="separate"/>
            </w:r>
            <w:r>
              <w:rPr>
                <w:noProof/>
                <w:webHidden/>
              </w:rPr>
              <w:t>205</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49" w:history="1">
            <w:r w:rsidRPr="00C504E7">
              <w:rPr>
                <w:rStyle w:val="Hiperveza"/>
                <w:rFonts w:ascii="Times New Roman" w:hAnsi="Times New Roman" w:cs="Times New Roman"/>
                <w:b/>
                <w:bCs/>
                <w:noProof/>
              </w:rPr>
              <w:t>15.</w:t>
            </w:r>
            <w:r>
              <w:rPr>
                <w:rFonts w:eastAsiaTheme="minorEastAsia"/>
                <w:noProof/>
                <w:sz w:val="24"/>
                <w:szCs w:val="24"/>
                <w:lang w:eastAsia="hr-HR"/>
              </w:rPr>
              <w:tab/>
            </w:r>
            <w:r w:rsidRPr="00C504E7">
              <w:rPr>
                <w:rStyle w:val="Hiperveza"/>
                <w:rFonts w:ascii="Times New Roman" w:hAnsi="Times New Roman" w:cs="Times New Roman"/>
                <w:b/>
                <w:bCs/>
                <w:noProof/>
              </w:rPr>
              <w:t>SMJERNICE I PREPORUKE ZA DIONIKE RAZVOJA</w:t>
            </w:r>
            <w:r>
              <w:rPr>
                <w:noProof/>
                <w:webHidden/>
              </w:rPr>
              <w:tab/>
            </w:r>
            <w:r>
              <w:rPr>
                <w:noProof/>
                <w:webHidden/>
              </w:rPr>
              <w:fldChar w:fldCharType="begin"/>
            </w:r>
            <w:r>
              <w:rPr>
                <w:noProof/>
                <w:webHidden/>
              </w:rPr>
              <w:instrText xml:space="preserve"> PAGEREF _Toc217040749 \h </w:instrText>
            </w:r>
            <w:r>
              <w:rPr>
                <w:noProof/>
                <w:webHidden/>
              </w:rPr>
            </w:r>
            <w:r>
              <w:rPr>
                <w:noProof/>
                <w:webHidden/>
              </w:rPr>
              <w:fldChar w:fldCharType="separate"/>
            </w:r>
            <w:r>
              <w:rPr>
                <w:noProof/>
                <w:webHidden/>
              </w:rPr>
              <w:t>206</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50" w:history="1">
            <w:r w:rsidRPr="00C504E7">
              <w:rPr>
                <w:rStyle w:val="Hiperveza"/>
                <w:rFonts w:ascii="Times New Roman" w:hAnsi="Times New Roman" w:cs="Times New Roman"/>
                <w:noProof/>
              </w:rPr>
              <w:t>15.1.</w:t>
            </w:r>
            <w:r>
              <w:rPr>
                <w:rFonts w:eastAsiaTheme="minorEastAsia"/>
                <w:noProof/>
                <w:sz w:val="24"/>
                <w:szCs w:val="24"/>
                <w:lang w:eastAsia="hr-HR"/>
              </w:rPr>
              <w:tab/>
            </w:r>
            <w:r w:rsidRPr="00C504E7">
              <w:rPr>
                <w:rStyle w:val="Hiperveza"/>
                <w:rFonts w:ascii="Times New Roman" w:hAnsi="Times New Roman" w:cs="Times New Roman"/>
                <w:noProof/>
              </w:rPr>
              <w:t>Smjernice i preporuke za jedinice lokalne samouprave</w:t>
            </w:r>
            <w:r>
              <w:rPr>
                <w:noProof/>
                <w:webHidden/>
              </w:rPr>
              <w:tab/>
            </w:r>
            <w:r>
              <w:rPr>
                <w:noProof/>
                <w:webHidden/>
              </w:rPr>
              <w:fldChar w:fldCharType="begin"/>
            </w:r>
            <w:r>
              <w:rPr>
                <w:noProof/>
                <w:webHidden/>
              </w:rPr>
              <w:instrText xml:space="preserve"> PAGEREF _Toc217040750 \h </w:instrText>
            </w:r>
            <w:r>
              <w:rPr>
                <w:noProof/>
                <w:webHidden/>
              </w:rPr>
            </w:r>
            <w:r>
              <w:rPr>
                <w:noProof/>
                <w:webHidden/>
              </w:rPr>
              <w:fldChar w:fldCharType="separate"/>
            </w:r>
            <w:r>
              <w:rPr>
                <w:noProof/>
                <w:webHidden/>
              </w:rPr>
              <w:t>206</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51" w:history="1">
            <w:r w:rsidRPr="00C504E7">
              <w:rPr>
                <w:rStyle w:val="Hiperveza"/>
                <w:rFonts w:ascii="Times New Roman" w:hAnsi="Times New Roman" w:cs="Times New Roman"/>
                <w:noProof/>
              </w:rPr>
              <w:t>15.2.</w:t>
            </w:r>
            <w:r>
              <w:rPr>
                <w:rFonts w:eastAsiaTheme="minorEastAsia"/>
                <w:noProof/>
                <w:sz w:val="24"/>
                <w:szCs w:val="24"/>
                <w:lang w:eastAsia="hr-HR"/>
              </w:rPr>
              <w:tab/>
            </w:r>
            <w:r w:rsidRPr="00C504E7">
              <w:rPr>
                <w:rStyle w:val="Hiperveza"/>
                <w:rFonts w:ascii="Times New Roman" w:hAnsi="Times New Roman" w:cs="Times New Roman"/>
                <w:noProof/>
              </w:rPr>
              <w:t>Smjernice i preporuke za turističke zajednice</w:t>
            </w:r>
            <w:r>
              <w:rPr>
                <w:noProof/>
                <w:webHidden/>
              </w:rPr>
              <w:tab/>
            </w:r>
            <w:r>
              <w:rPr>
                <w:noProof/>
                <w:webHidden/>
              </w:rPr>
              <w:fldChar w:fldCharType="begin"/>
            </w:r>
            <w:r>
              <w:rPr>
                <w:noProof/>
                <w:webHidden/>
              </w:rPr>
              <w:instrText xml:space="preserve"> PAGEREF _Toc217040751 \h </w:instrText>
            </w:r>
            <w:r>
              <w:rPr>
                <w:noProof/>
                <w:webHidden/>
              </w:rPr>
            </w:r>
            <w:r>
              <w:rPr>
                <w:noProof/>
                <w:webHidden/>
              </w:rPr>
              <w:fldChar w:fldCharType="separate"/>
            </w:r>
            <w:r>
              <w:rPr>
                <w:noProof/>
                <w:webHidden/>
              </w:rPr>
              <w:t>206</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52" w:history="1">
            <w:r w:rsidRPr="00C504E7">
              <w:rPr>
                <w:rStyle w:val="Hiperveza"/>
                <w:rFonts w:ascii="Times New Roman" w:hAnsi="Times New Roman" w:cs="Times New Roman"/>
                <w:noProof/>
              </w:rPr>
              <w:t>15.3.</w:t>
            </w:r>
            <w:r>
              <w:rPr>
                <w:rFonts w:eastAsiaTheme="minorEastAsia"/>
                <w:noProof/>
                <w:sz w:val="24"/>
                <w:szCs w:val="24"/>
                <w:lang w:eastAsia="hr-HR"/>
              </w:rPr>
              <w:tab/>
            </w:r>
            <w:r w:rsidRPr="00C504E7">
              <w:rPr>
                <w:rStyle w:val="Hiperveza"/>
                <w:rFonts w:ascii="Times New Roman" w:hAnsi="Times New Roman" w:cs="Times New Roman"/>
                <w:noProof/>
              </w:rPr>
              <w:t>Smjernice i preporuke za druge dionike u turizmu i upravljanju turizmom u destinaciji</w:t>
            </w:r>
            <w:r>
              <w:rPr>
                <w:noProof/>
                <w:webHidden/>
              </w:rPr>
              <w:tab/>
            </w:r>
            <w:r>
              <w:rPr>
                <w:noProof/>
                <w:webHidden/>
              </w:rPr>
              <w:fldChar w:fldCharType="begin"/>
            </w:r>
            <w:r>
              <w:rPr>
                <w:noProof/>
                <w:webHidden/>
              </w:rPr>
              <w:instrText xml:space="preserve"> PAGEREF _Toc217040752 \h </w:instrText>
            </w:r>
            <w:r>
              <w:rPr>
                <w:noProof/>
                <w:webHidden/>
              </w:rPr>
            </w:r>
            <w:r>
              <w:rPr>
                <w:noProof/>
                <w:webHidden/>
              </w:rPr>
              <w:fldChar w:fldCharType="separate"/>
            </w:r>
            <w:r>
              <w:rPr>
                <w:noProof/>
                <w:webHidden/>
              </w:rPr>
              <w:t>207</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53" w:history="1">
            <w:r w:rsidRPr="00C504E7">
              <w:rPr>
                <w:rStyle w:val="Hiperveza"/>
                <w:rFonts w:ascii="Times New Roman" w:hAnsi="Times New Roman" w:cs="Times New Roman"/>
                <w:b/>
                <w:bCs/>
                <w:noProof/>
              </w:rPr>
              <w:t>16.</w:t>
            </w:r>
            <w:r>
              <w:rPr>
                <w:rFonts w:eastAsiaTheme="minorEastAsia"/>
                <w:noProof/>
                <w:sz w:val="24"/>
                <w:szCs w:val="24"/>
                <w:lang w:eastAsia="hr-HR"/>
              </w:rPr>
              <w:tab/>
            </w:r>
            <w:r w:rsidRPr="00C504E7">
              <w:rPr>
                <w:rStyle w:val="Hiperveza"/>
                <w:rFonts w:ascii="Times New Roman" w:hAnsi="Times New Roman" w:cs="Times New Roman"/>
                <w:b/>
                <w:bCs/>
                <w:noProof/>
              </w:rPr>
              <w:t>POPIS PROJEKATA</w:t>
            </w:r>
            <w:r>
              <w:rPr>
                <w:noProof/>
                <w:webHidden/>
              </w:rPr>
              <w:tab/>
            </w:r>
            <w:r>
              <w:rPr>
                <w:noProof/>
                <w:webHidden/>
              </w:rPr>
              <w:fldChar w:fldCharType="begin"/>
            </w:r>
            <w:r>
              <w:rPr>
                <w:noProof/>
                <w:webHidden/>
              </w:rPr>
              <w:instrText xml:space="preserve"> PAGEREF _Toc217040753 \h </w:instrText>
            </w:r>
            <w:r>
              <w:rPr>
                <w:noProof/>
                <w:webHidden/>
              </w:rPr>
            </w:r>
            <w:r>
              <w:rPr>
                <w:noProof/>
                <w:webHidden/>
              </w:rPr>
              <w:fldChar w:fldCharType="separate"/>
            </w:r>
            <w:r>
              <w:rPr>
                <w:noProof/>
                <w:webHidden/>
              </w:rPr>
              <w:t>207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54" w:history="1">
            <w:r w:rsidRPr="00C504E7">
              <w:rPr>
                <w:rStyle w:val="Hiperveza"/>
                <w:rFonts w:ascii="Times New Roman" w:hAnsi="Times New Roman" w:cs="Times New Roman"/>
                <w:noProof/>
              </w:rPr>
              <w:t>16.1.</w:t>
            </w:r>
            <w:r>
              <w:rPr>
                <w:rFonts w:eastAsiaTheme="minorEastAsia"/>
                <w:noProof/>
                <w:sz w:val="24"/>
                <w:szCs w:val="24"/>
                <w:lang w:eastAsia="hr-HR"/>
              </w:rPr>
              <w:tab/>
            </w:r>
            <w:r w:rsidRPr="00C504E7">
              <w:rPr>
                <w:rStyle w:val="Hiperveza"/>
                <w:rFonts w:ascii="Times New Roman" w:hAnsi="Times New Roman" w:cs="Times New Roman"/>
                <w:noProof/>
              </w:rPr>
              <w:t>Nacionalni projekti i projekti JLS-a</w:t>
            </w:r>
            <w:r>
              <w:rPr>
                <w:noProof/>
                <w:webHidden/>
              </w:rPr>
              <w:tab/>
            </w:r>
            <w:r>
              <w:rPr>
                <w:noProof/>
                <w:webHidden/>
              </w:rPr>
              <w:fldChar w:fldCharType="begin"/>
            </w:r>
            <w:r>
              <w:rPr>
                <w:noProof/>
                <w:webHidden/>
              </w:rPr>
              <w:instrText xml:space="preserve"> PAGEREF _Toc217040754 \h </w:instrText>
            </w:r>
            <w:r>
              <w:rPr>
                <w:noProof/>
                <w:webHidden/>
              </w:rPr>
            </w:r>
            <w:r>
              <w:rPr>
                <w:noProof/>
                <w:webHidden/>
              </w:rPr>
              <w:fldChar w:fldCharType="separate"/>
            </w:r>
            <w:r>
              <w:rPr>
                <w:noProof/>
                <w:webHidden/>
              </w:rPr>
              <w:t>207</w:t>
            </w:r>
            <w:r>
              <w:rPr>
                <w:noProof/>
                <w:webHidden/>
              </w:rPr>
              <w:fldChar w:fldCharType="end"/>
            </w:r>
          </w:hyperlink>
        </w:p>
        <w:p w:rsidR="002D0BA4" w:rsidRDefault="002D0BA4">
          <w:pPr>
            <w:pStyle w:val="Sadraj3"/>
            <w:tabs>
              <w:tab w:val="left" w:pos="1440"/>
              <w:tab w:val="right" w:leader="dot" w:pos="9062"/>
            </w:tabs>
            <w:rPr>
              <w:rFonts w:eastAsiaTheme="minorEastAsia"/>
              <w:noProof/>
              <w:sz w:val="24"/>
              <w:szCs w:val="24"/>
              <w:lang w:eastAsia="hr-HR"/>
            </w:rPr>
          </w:pPr>
          <w:hyperlink w:anchor="_Toc217040755" w:history="1">
            <w:r w:rsidRPr="00C504E7">
              <w:rPr>
                <w:rStyle w:val="Hiperveza"/>
                <w:rFonts w:ascii="Times New Roman" w:hAnsi="Times New Roman" w:cs="Times New Roman"/>
                <w:noProof/>
              </w:rPr>
              <w:t>16.1.1.</w:t>
            </w:r>
            <w:r>
              <w:rPr>
                <w:rFonts w:eastAsiaTheme="minorEastAsia"/>
                <w:noProof/>
                <w:sz w:val="24"/>
                <w:szCs w:val="24"/>
                <w:lang w:eastAsia="hr-HR"/>
              </w:rPr>
              <w:tab/>
            </w:r>
            <w:r w:rsidRPr="00C504E7">
              <w:rPr>
                <w:rStyle w:val="Hiperveza"/>
                <w:rFonts w:ascii="Times New Roman" w:hAnsi="Times New Roman" w:cs="Times New Roman"/>
                <w:noProof/>
              </w:rPr>
              <w:t>Rekonstrukcija pristaništa u Brbinju</w:t>
            </w:r>
            <w:r>
              <w:rPr>
                <w:noProof/>
                <w:webHidden/>
              </w:rPr>
              <w:tab/>
            </w:r>
            <w:r>
              <w:rPr>
                <w:noProof/>
                <w:webHidden/>
              </w:rPr>
              <w:fldChar w:fldCharType="begin"/>
            </w:r>
            <w:r>
              <w:rPr>
                <w:noProof/>
                <w:webHidden/>
              </w:rPr>
              <w:instrText xml:space="preserve"> PAGEREF _Toc217040755 \h </w:instrText>
            </w:r>
            <w:r>
              <w:rPr>
                <w:noProof/>
                <w:webHidden/>
              </w:rPr>
            </w:r>
            <w:r>
              <w:rPr>
                <w:noProof/>
                <w:webHidden/>
              </w:rPr>
              <w:fldChar w:fldCharType="separate"/>
            </w:r>
            <w:r>
              <w:rPr>
                <w:noProof/>
                <w:webHidden/>
              </w:rPr>
              <w:t>207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56" w:history="1">
            <w:r w:rsidRPr="00C504E7">
              <w:rPr>
                <w:rStyle w:val="Hiperveza"/>
                <w:rFonts w:ascii="Times New Roman" w:hAnsi="Times New Roman" w:cs="Times New Roman"/>
                <w:noProof/>
              </w:rPr>
              <w:t>16.2.</w:t>
            </w:r>
            <w:r>
              <w:rPr>
                <w:rFonts w:eastAsiaTheme="minorEastAsia"/>
                <w:noProof/>
                <w:sz w:val="24"/>
                <w:szCs w:val="24"/>
                <w:lang w:eastAsia="hr-HR"/>
              </w:rPr>
              <w:tab/>
            </w:r>
            <w:r w:rsidRPr="00C504E7">
              <w:rPr>
                <w:rStyle w:val="Hiperveza"/>
                <w:rFonts w:ascii="Times New Roman" w:hAnsi="Times New Roman" w:cs="Times New Roman"/>
                <w:noProof/>
              </w:rPr>
              <w:t>Projekti Turističke zajednice</w:t>
            </w:r>
            <w:r>
              <w:rPr>
                <w:noProof/>
                <w:webHidden/>
              </w:rPr>
              <w:tab/>
            </w:r>
            <w:r>
              <w:rPr>
                <w:noProof/>
                <w:webHidden/>
              </w:rPr>
              <w:fldChar w:fldCharType="begin"/>
            </w:r>
            <w:r>
              <w:rPr>
                <w:noProof/>
                <w:webHidden/>
              </w:rPr>
              <w:instrText xml:space="preserve"> PAGEREF _Toc217040756 \h </w:instrText>
            </w:r>
            <w:r>
              <w:rPr>
                <w:noProof/>
                <w:webHidden/>
              </w:rPr>
            </w:r>
            <w:r>
              <w:rPr>
                <w:noProof/>
                <w:webHidden/>
              </w:rPr>
              <w:fldChar w:fldCharType="separate"/>
            </w:r>
            <w:r>
              <w:rPr>
                <w:noProof/>
                <w:webHidden/>
              </w:rPr>
              <w:t>208</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57" w:history="1">
            <w:r w:rsidRPr="00C504E7">
              <w:rPr>
                <w:rStyle w:val="Hiperveza"/>
                <w:rFonts w:ascii="Times New Roman" w:hAnsi="Times New Roman" w:cs="Times New Roman"/>
                <w:b/>
                <w:bCs/>
                <w:noProof/>
              </w:rPr>
              <w:t>17.</w:t>
            </w:r>
            <w:r>
              <w:rPr>
                <w:rFonts w:eastAsiaTheme="minorEastAsia"/>
                <w:noProof/>
                <w:sz w:val="24"/>
                <w:szCs w:val="24"/>
                <w:lang w:eastAsia="hr-HR"/>
              </w:rPr>
              <w:tab/>
            </w:r>
            <w:r w:rsidRPr="00C504E7">
              <w:rPr>
                <w:rStyle w:val="Hiperveza"/>
                <w:rFonts w:ascii="Times New Roman" w:hAnsi="Times New Roman" w:cs="Times New Roman"/>
                <w:b/>
                <w:bCs/>
                <w:noProof/>
              </w:rPr>
              <w:t>MJERENJE NAPRETKA I IZVJEŠĆE O PROVEDBI</w:t>
            </w:r>
            <w:r>
              <w:rPr>
                <w:noProof/>
                <w:webHidden/>
              </w:rPr>
              <w:tab/>
            </w:r>
            <w:r>
              <w:rPr>
                <w:noProof/>
                <w:webHidden/>
              </w:rPr>
              <w:fldChar w:fldCharType="begin"/>
            </w:r>
            <w:r>
              <w:rPr>
                <w:noProof/>
                <w:webHidden/>
              </w:rPr>
              <w:instrText xml:space="preserve"> PAGEREF _Toc217040757 \h </w:instrText>
            </w:r>
            <w:r>
              <w:rPr>
                <w:noProof/>
                <w:webHidden/>
              </w:rPr>
            </w:r>
            <w:r>
              <w:rPr>
                <w:noProof/>
                <w:webHidden/>
              </w:rPr>
              <w:fldChar w:fldCharType="separate"/>
            </w:r>
            <w:r>
              <w:rPr>
                <w:noProof/>
                <w:webHidden/>
              </w:rPr>
              <w:t>217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58" w:history="1">
            <w:r w:rsidRPr="00C504E7">
              <w:rPr>
                <w:rStyle w:val="Hiperveza"/>
                <w:rFonts w:ascii="Times New Roman" w:hAnsi="Times New Roman" w:cs="Times New Roman"/>
                <w:noProof/>
              </w:rPr>
              <w:t>17.1.</w:t>
            </w:r>
            <w:r>
              <w:rPr>
                <w:rFonts w:eastAsiaTheme="minorEastAsia"/>
                <w:noProof/>
                <w:sz w:val="24"/>
                <w:szCs w:val="24"/>
                <w:lang w:eastAsia="hr-HR"/>
              </w:rPr>
              <w:tab/>
            </w:r>
            <w:r w:rsidRPr="00C504E7">
              <w:rPr>
                <w:rStyle w:val="Hiperveza"/>
                <w:rFonts w:ascii="Times New Roman" w:hAnsi="Times New Roman" w:cs="Times New Roman"/>
                <w:noProof/>
              </w:rPr>
              <w:t>Podrška i implementacija Plana upravljanja destinacijom</w:t>
            </w:r>
            <w:r>
              <w:rPr>
                <w:noProof/>
                <w:webHidden/>
              </w:rPr>
              <w:tab/>
            </w:r>
            <w:r>
              <w:rPr>
                <w:noProof/>
                <w:webHidden/>
              </w:rPr>
              <w:fldChar w:fldCharType="begin"/>
            </w:r>
            <w:r>
              <w:rPr>
                <w:noProof/>
                <w:webHidden/>
              </w:rPr>
              <w:instrText xml:space="preserve"> PAGEREF _Toc217040758 \h </w:instrText>
            </w:r>
            <w:r>
              <w:rPr>
                <w:noProof/>
                <w:webHidden/>
              </w:rPr>
            </w:r>
            <w:r>
              <w:rPr>
                <w:noProof/>
                <w:webHidden/>
              </w:rPr>
              <w:fldChar w:fldCharType="separate"/>
            </w:r>
            <w:r>
              <w:rPr>
                <w:noProof/>
                <w:webHidden/>
              </w:rPr>
              <w:t>217</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59" w:history="1">
            <w:r w:rsidRPr="00C504E7">
              <w:rPr>
                <w:rStyle w:val="Hiperveza"/>
                <w:rFonts w:ascii="Times New Roman" w:hAnsi="Times New Roman" w:cs="Times New Roman"/>
                <w:noProof/>
              </w:rPr>
              <w:t>17.2.</w:t>
            </w:r>
            <w:r>
              <w:rPr>
                <w:rFonts w:eastAsiaTheme="minorEastAsia"/>
                <w:noProof/>
                <w:sz w:val="24"/>
                <w:szCs w:val="24"/>
                <w:lang w:eastAsia="hr-HR"/>
              </w:rPr>
              <w:tab/>
            </w:r>
            <w:r w:rsidRPr="00C504E7">
              <w:rPr>
                <w:rStyle w:val="Hiperveza"/>
                <w:rFonts w:ascii="Times New Roman" w:hAnsi="Times New Roman" w:cs="Times New Roman"/>
                <w:noProof/>
              </w:rPr>
              <w:t>Izvješće o provedbi</w:t>
            </w:r>
            <w:r>
              <w:rPr>
                <w:noProof/>
                <w:webHidden/>
              </w:rPr>
              <w:tab/>
            </w:r>
            <w:r>
              <w:rPr>
                <w:noProof/>
                <w:webHidden/>
              </w:rPr>
              <w:fldChar w:fldCharType="begin"/>
            </w:r>
            <w:r>
              <w:rPr>
                <w:noProof/>
                <w:webHidden/>
              </w:rPr>
              <w:instrText xml:space="preserve"> PAGEREF _Toc217040759 \h </w:instrText>
            </w:r>
            <w:r>
              <w:rPr>
                <w:noProof/>
                <w:webHidden/>
              </w:rPr>
            </w:r>
            <w:r>
              <w:rPr>
                <w:noProof/>
                <w:webHidden/>
              </w:rPr>
              <w:fldChar w:fldCharType="separate"/>
            </w:r>
            <w:r>
              <w:rPr>
                <w:noProof/>
                <w:webHidden/>
              </w:rPr>
              <w:t>218</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60" w:history="1">
            <w:r w:rsidRPr="00C504E7">
              <w:rPr>
                <w:rStyle w:val="Hiperveza"/>
                <w:rFonts w:ascii="Times New Roman" w:hAnsi="Times New Roman" w:cs="Times New Roman"/>
                <w:b/>
                <w:bCs/>
                <w:noProof/>
              </w:rPr>
              <w:t>18.</w:t>
            </w:r>
            <w:r>
              <w:rPr>
                <w:rFonts w:eastAsiaTheme="minorEastAsia"/>
                <w:noProof/>
                <w:sz w:val="24"/>
                <w:szCs w:val="24"/>
                <w:lang w:eastAsia="hr-HR"/>
              </w:rPr>
              <w:tab/>
            </w:r>
            <w:r w:rsidRPr="00C504E7">
              <w:rPr>
                <w:rStyle w:val="Hiperveza"/>
                <w:rFonts w:ascii="Times New Roman" w:hAnsi="Times New Roman" w:cs="Times New Roman"/>
                <w:b/>
                <w:bCs/>
                <w:noProof/>
              </w:rPr>
              <w:t>ZAKLJUČAK</w:t>
            </w:r>
            <w:r>
              <w:rPr>
                <w:noProof/>
                <w:webHidden/>
              </w:rPr>
              <w:tab/>
            </w:r>
            <w:r>
              <w:rPr>
                <w:noProof/>
                <w:webHidden/>
              </w:rPr>
              <w:fldChar w:fldCharType="begin"/>
            </w:r>
            <w:r>
              <w:rPr>
                <w:noProof/>
                <w:webHidden/>
              </w:rPr>
              <w:instrText xml:space="preserve"> PAGEREF _Toc217040760 \h </w:instrText>
            </w:r>
            <w:r>
              <w:rPr>
                <w:noProof/>
                <w:webHidden/>
              </w:rPr>
            </w:r>
            <w:r>
              <w:rPr>
                <w:noProof/>
                <w:webHidden/>
              </w:rPr>
              <w:fldChar w:fldCharType="separate"/>
            </w:r>
            <w:r>
              <w:rPr>
                <w:noProof/>
                <w:webHidden/>
              </w:rPr>
              <w:t>218</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61" w:history="1">
            <w:r w:rsidRPr="00C504E7">
              <w:rPr>
                <w:rStyle w:val="Hiperveza"/>
                <w:rFonts w:ascii="Times New Roman" w:hAnsi="Times New Roman" w:cs="Times New Roman"/>
                <w:b/>
                <w:bCs/>
                <w:noProof/>
              </w:rPr>
              <w:t>19.</w:t>
            </w:r>
            <w:r>
              <w:rPr>
                <w:rFonts w:eastAsiaTheme="minorEastAsia"/>
                <w:noProof/>
                <w:sz w:val="24"/>
                <w:szCs w:val="24"/>
                <w:lang w:eastAsia="hr-HR"/>
              </w:rPr>
              <w:tab/>
            </w:r>
            <w:r w:rsidRPr="00C504E7">
              <w:rPr>
                <w:rStyle w:val="Hiperveza"/>
                <w:rFonts w:ascii="Times New Roman" w:hAnsi="Times New Roman" w:cs="Times New Roman"/>
                <w:b/>
                <w:bCs/>
                <w:noProof/>
              </w:rPr>
              <w:t>PRILOZI</w:t>
            </w:r>
            <w:r>
              <w:rPr>
                <w:noProof/>
                <w:webHidden/>
              </w:rPr>
              <w:tab/>
            </w:r>
            <w:r>
              <w:rPr>
                <w:noProof/>
                <w:webHidden/>
              </w:rPr>
              <w:fldChar w:fldCharType="begin"/>
            </w:r>
            <w:r>
              <w:rPr>
                <w:noProof/>
                <w:webHidden/>
              </w:rPr>
              <w:instrText xml:space="preserve"> PAGEREF _Toc217040761 \h </w:instrText>
            </w:r>
            <w:r>
              <w:rPr>
                <w:noProof/>
                <w:webHidden/>
              </w:rPr>
            </w:r>
            <w:r>
              <w:rPr>
                <w:noProof/>
                <w:webHidden/>
              </w:rPr>
              <w:fldChar w:fldCharType="separate"/>
            </w:r>
            <w:r>
              <w:rPr>
                <w:noProof/>
                <w:webHidden/>
              </w:rPr>
              <w:t>219</w:t>
            </w:r>
            <w:r>
              <w:rPr>
                <w:noProof/>
                <w:webHidden/>
              </w:rPr>
              <w:fldChar w:fldCharType="end"/>
            </w:r>
          </w:hyperlink>
        </w:p>
        <w:p w:rsidR="002D0BA4" w:rsidRDefault="002D0BA4">
          <w:pPr>
            <w:pStyle w:val="Sadraj2"/>
            <w:tabs>
              <w:tab w:val="left" w:pos="960"/>
              <w:tab w:val="right" w:leader="dot" w:pos="9062"/>
            </w:tabs>
            <w:rPr>
              <w:rFonts w:eastAsiaTheme="minorEastAsia"/>
              <w:noProof/>
              <w:sz w:val="24"/>
              <w:szCs w:val="24"/>
              <w:lang w:eastAsia="hr-HR"/>
            </w:rPr>
          </w:pPr>
          <w:hyperlink w:anchor="_Toc217040762" w:history="1">
            <w:r w:rsidRPr="00C504E7">
              <w:rPr>
                <w:rStyle w:val="Hiperveza"/>
                <w:rFonts w:ascii="Times New Roman" w:hAnsi="Times New Roman" w:cs="Times New Roman"/>
                <w:noProof/>
              </w:rPr>
              <w:t>19.1.</w:t>
            </w:r>
            <w:r>
              <w:rPr>
                <w:rFonts w:eastAsiaTheme="minorEastAsia"/>
                <w:noProof/>
                <w:sz w:val="24"/>
                <w:szCs w:val="24"/>
                <w:lang w:eastAsia="hr-HR"/>
              </w:rPr>
              <w:tab/>
            </w:r>
            <w:r w:rsidRPr="00C504E7">
              <w:rPr>
                <w:rStyle w:val="Hiperveza"/>
                <w:rFonts w:ascii="Times New Roman" w:hAnsi="Times New Roman" w:cs="Times New Roman"/>
                <w:noProof/>
              </w:rPr>
              <w:t>Prihvatni kapacitet destinacije (u izradi)</w:t>
            </w:r>
            <w:r>
              <w:rPr>
                <w:noProof/>
                <w:webHidden/>
              </w:rPr>
              <w:tab/>
            </w:r>
            <w:r>
              <w:rPr>
                <w:noProof/>
                <w:webHidden/>
              </w:rPr>
              <w:fldChar w:fldCharType="begin"/>
            </w:r>
            <w:r>
              <w:rPr>
                <w:noProof/>
                <w:webHidden/>
              </w:rPr>
              <w:instrText xml:space="preserve"> PAGEREF _Toc217040762 \h </w:instrText>
            </w:r>
            <w:r>
              <w:rPr>
                <w:noProof/>
                <w:webHidden/>
              </w:rPr>
            </w:r>
            <w:r>
              <w:rPr>
                <w:noProof/>
                <w:webHidden/>
              </w:rPr>
              <w:fldChar w:fldCharType="separate"/>
            </w:r>
            <w:r>
              <w:rPr>
                <w:noProof/>
                <w:webHidden/>
              </w:rPr>
              <w:t>219</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63" w:history="1">
            <w:r w:rsidRPr="00C504E7">
              <w:rPr>
                <w:rStyle w:val="Hiperveza"/>
                <w:rFonts w:ascii="Times New Roman" w:hAnsi="Times New Roman" w:cs="Times New Roman"/>
                <w:b/>
                <w:bCs/>
                <w:noProof/>
              </w:rPr>
              <w:t>20.</w:t>
            </w:r>
            <w:r>
              <w:rPr>
                <w:rFonts w:eastAsiaTheme="minorEastAsia"/>
                <w:noProof/>
                <w:sz w:val="24"/>
                <w:szCs w:val="24"/>
                <w:lang w:eastAsia="hr-HR"/>
              </w:rPr>
              <w:tab/>
            </w:r>
            <w:r w:rsidRPr="00C504E7">
              <w:rPr>
                <w:rStyle w:val="Hiperveza"/>
                <w:rFonts w:ascii="Times New Roman" w:hAnsi="Times New Roman" w:cs="Times New Roman"/>
                <w:b/>
                <w:bCs/>
                <w:noProof/>
              </w:rPr>
              <w:t>IZVORI</w:t>
            </w:r>
            <w:r>
              <w:rPr>
                <w:noProof/>
                <w:webHidden/>
              </w:rPr>
              <w:tab/>
            </w:r>
            <w:r>
              <w:rPr>
                <w:noProof/>
                <w:webHidden/>
              </w:rPr>
              <w:fldChar w:fldCharType="begin"/>
            </w:r>
            <w:r>
              <w:rPr>
                <w:noProof/>
                <w:webHidden/>
              </w:rPr>
              <w:instrText xml:space="preserve"> PAGEREF _Toc217040763 \h </w:instrText>
            </w:r>
            <w:r>
              <w:rPr>
                <w:noProof/>
                <w:webHidden/>
              </w:rPr>
            </w:r>
            <w:r>
              <w:rPr>
                <w:noProof/>
                <w:webHidden/>
              </w:rPr>
              <w:fldChar w:fldCharType="separate"/>
            </w:r>
            <w:r>
              <w:rPr>
                <w:noProof/>
                <w:webHidden/>
              </w:rPr>
              <w:t>219</w:t>
            </w:r>
            <w:r>
              <w:rPr>
                <w:noProof/>
                <w:webHidden/>
              </w:rPr>
              <w:fldChar w:fldCharType="end"/>
            </w:r>
          </w:hyperlink>
        </w:p>
        <w:p w:rsidR="002D0BA4" w:rsidRDefault="002D0BA4">
          <w:pPr>
            <w:pStyle w:val="Sadraj1"/>
            <w:tabs>
              <w:tab w:val="left" w:pos="720"/>
              <w:tab w:val="right" w:leader="dot" w:pos="9062"/>
            </w:tabs>
            <w:rPr>
              <w:rFonts w:eastAsiaTheme="minorEastAsia"/>
              <w:noProof/>
              <w:sz w:val="24"/>
              <w:szCs w:val="24"/>
              <w:lang w:eastAsia="hr-HR"/>
            </w:rPr>
          </w:pPr>
          <w:hyperlink w:anchor="_Toc217040764" w:history="1">
            <w:r w:rsidRPr="00C504E7">
              <w:rPr>
                <w:rStyle w:val="Hiperveza"/>
                <w:rFonts w:ascii="Times New Roman" w:hAnsi="Times New Roman" w:cs="Times New Roman"/>
                <w:b/>
                <w:bCs/>
                <w:noProof/>
              </w:rPr>
              <w:t>21.</w:t>
            </w:r>
            <w:r>
              <w:rPr>
                <w:rFonts w:eastAsiaTheme="minorEastAsia"/>
                <w:noProof/>
                <w:sz w:val="24"/>
                <w:szCs w:val="24"/>
                <w:lang w:eastAsia="hr-HR"/>
              </w:rPr>
              <w:tab/>
            </w:r>
            <w:r w:rsidRPr="00C504E7">
              <w:rPr>
                <w:rStyle w:val="Hiperveza"/>
                <w:rFonts w:ascii="Times New Roman" w:hAnsi="Times New Roman" w:cs="Times New Roman"/>
                <w:b/>
                <w:bCs/>
                <w:noProof/>
              </w:rPr>
              <w:t>LITERATURA</w:t>
            </w:r>
            <w:r>
              <w:rPr>
                <w:noProof/>
                <w:webHidden/>
              </w:rPr>
              <w:tab/>
            </w:r>
            <w:r>
              <w:rPr>
                <w:noProof/>
                <w:webHidden/>
              </w:rPr>
              <w:fldChar w:fldCharType="begin"/>
            </w:r>
            <w:r>
              <w:rPr>
                <w:noProof/>
                <w:webHidden/>
              </w:rPr>
              <w:instrText xml:space="preserve"> PAGEREF _Toc217040764 \h </w:instrText>
            </w:r>
            <w:r>
              <w:rPr>
                <w:noProof/>
                <w:webHidden/>
              </w:rPr>
            </w:r>
            <w:r>
              <w:rPr>
                <w:noProof/>
                <w:webHidden/>
              </w:rPr>
              <w:fldChar w:fldCharType="separate"/>
            </w:r>
            <w:r>
              <w:rPr>
                <w:noProof/>
                <w:webHidden/>
              </w:rPr>
              <w:t>219</w:t>
            </w:r>
            <w:r>
              <w:rPr>
                <w:noProof/>
                <w:webHidden/>
              </w:rPr>
              <w:fldChar w:fldCharType="end"/>
            </w:r>
          </w:hyperlink>
        </w:p>
        <w:p w:rsidR="00702E3C" w:rsidRDefault="004B1C83">
          <w:pPr>
            <w:spacing w:line="360" w:lineRule="auto"/>
            <w:rPr>
              <w:rFonts w:ascii="Times New Roman" w:hAnsi="Times New Roman" w:cs="Times New Roman"/>
            </w:rPr>
          </w:pPr>
          <w:r>
            <w:rPr>
              <w:rFonts w:ascii="Times New Roman" w:hAnsi="Times New Roman" w:cs="Times New Roman"/>
              <w:b/>
              <w:bCs/>
              <w:color w:val="595959" w:themeColor="text1" w:themeTint="A6"/>
              <w:sz w:val="20"/>
              <w:szCs w:val="20"/>
            </w:rPr>
            <w:fldChar w:fldCharType="end"/>
          </w:r>
        </w:p>
      </w:sdtContent>
    </w:sdt>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4B1C83">
      <w:pPr>
        <w:pStyle w:val="Naslov1"/>
        <w:numPr>
          <w:ilvl w:val="0"/>
          <w:numId w:val="1"/>
        </w:numPr>
        <w:rPr>
          <w:rFonts w:ascii="Times New Roman" w:hAnsi="Times New Roman" w:cs="Times New Roman"/>
          <w:b/>
          <w:bCs/>
          <w:color w:val="54A021" w:themeColor="accent2"/>
        </w:rPr>
      </w:pPr>
      <w:bookmarkStart w:id="0" w:name="_Toc217040633"/>
      <w:r>
        <w:rPr>
          <w:rFonts w:ascii="Times New Roman" w:hAnsi="Times New Roman" w:cs="Times New Roman"/>
          <w:b/>
          <w:bCs/>
          <w:color w:val="54A021" w:themeColor="accent2"/>
        </w:rPr>
        <w:t>UVOD</w:t>
      </w:r>
      <w:bookmarkEnd w:id="0"/>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upravljanja turističkom destinacijom Dugi otok (u daljnjem tekstu: </w:t>
      </w:r>
      <w:r>
        <w:rPr>
          <w:rFonts w:ascii="Times New Roman" w:hAnsi="Times New Roman" w:cs="Times New Roman"/>
          <w:b/>
          <w:bCs/>
          <w:sz w:val="24"/>
          <w:szCs w:val="24"/>
        </w:rPr>
        <w:t>Plan</w:t>
      </w:r>
      <w:r>
        <w:rPr>
          <w:rFonts w:ascii="Times New Roman" w:hAnsi="Times New Roman" w:cs="Times New Roman"/>
          <w:sz w:val="24"/>
          <w:szCs w:val="24"/>
        </w:rPr>
        <w:t xml:space="preserve">) izrađuje se temeljem </w:t>
      </w:r>
      <w:r>
        <w:rPr>
          <w:rFonts w:ascii="Times New Roman" w:hAnsi="Times New Roman" w:cs="Times New Roman"/>
          <w:b/>
          <w:bCs/>
          <w:sz w:val="24"/>
          <w:szCs w:val="24"/>
        </w:rPr>
        <w:t>Zakona o turizmu</w:t>
      </w:r>
      <w:r>
        <w:rPr>
          <w:rFonts w:ascii="Times New Roman" w:hAnsi="Times New Roman" w:cs="Times New Roman"/>
          <w:sz w:val="24"/>
          <w:szCs w:val="24"/>
        </w:rPr>
        <w:t xml:space="preserve"> (NN 156/23, u daljnjem tekstu: </w:t>
      </w:r>
      <w:r>
        <w:rPr>
          <w:rFonts w:ascii="Times New Roman" w:hAnsi="Times New Roman" w:cs="Times New Roman"/>
          <w:b/>
          <w:bCs/>
          <w:sz w:val="24"/>
          <w:szCs w:val="24"/>
        </w:rPr>
        <w:t>ZOT</w:t>
      </w:r>
      <w:r>
        <w:rPr>
          <w:rFonts w:ascii="Times New Roman" w:hAnsi="Times New Roman" w:cs="Times New Roman"/>
          <w:sz w:val="24"/>
          <w:szCs w:val="24"/>
        </w:rPr>
        <w:t xml:space="preserve">) i </w:t>
      </w:r>
      <w:r>
        <w:rPr>
          <w:rFonts w:ascii="Times New Roman" w:hAnsi="Times New Roman" w:cs="Times New Roman"/>
          <w:b/>
          <w:bCs/>
          <w:sz w:val="24"/>
          <w:szCs w:val="24"/>
        </w:rPr>
        <w:t>Pravilnika o metodologiji izrade plana upravljanja destinacijom</w:t>
      </w:r>
      <w:r>
        <w:rPr>
          <w:rFonts w:ascii="Times New Roman" w:hAnsi="Times New Roman" w:cs="Times New Roman"/>
          <w:sz w:val="24"/>
          <w:szCs w:val="24"/>
        </w:rPr>
        <w:t xml:space="preserve"> (NN 112/24, u daljnjem tekstu: </w:t>
      </w:r>
      <w:r>
        <w:rPr>
          <w:rFonts w:ascii="Times New Roman" w:hAnsi="Times New Roman" w:cs="Times New Roman"/>
          <w:b/>
          <w:bCs/>
          <w:sz w:val="24"/>
          <w:szCs w:val="24"/>
        </w:rPr>
        <w:t>Pravilnik</w:t>
      </w:r>
      <w:r>
        <w:rPr>
          <w:rFonts w:ascii="Times New Roman" w:hAnsi="Times New Roman" w:cs="Times New Roman"/>
          <w:sz w:val="24"/>
          <w:szCs w:val="24"/>
        </w:rPr>
        <w:t>) kao strateški dokument koji usmjerava razvoj turizma na Dugom otoku u smjeru održivosti, ravnoteže između gospodarskih koristi, očuvanja resursa i kvalitete života lokalnog stanovništva.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Nositelj izrade je </w:t>
      </w:r>
      <w:r>
        <w:rPr>
          <w:rFonts w:ascii="Times New Roman" w:hAnsi="Times New Roman" w:cs="Times New Roman"/>
          <w:b/>
          <w:bCs/>
          <w:sz w:val="24"/>
          <w:szCs w:val="24"/>
        </w:rPr>
        <w:t>Turistička zajednica Dugi otok</w:t>
      </w:r>
      <w:r>
        <w:rPr>
          <w:rFonts w:ascii="Times New Roman" w:hAnsi="Times New Roman" w:cs="Times New Roman"/>
          <w:sz w:val="24"/>
          <w:szCs w:val="24"/>
        </w:rPr>
        <w:t xml:space="preserve">, koja dokument izrađuje za cjelokupno područje svoje nadležnosti, uključujući i područje </w:t>
      </w:r>
      <w:r>
        <w:rPr>
          <w:rFonts w:ascii="Times New Roman" w:hAnsi="Times New Roman" w:cs="Times New Roman"/>
          <w:b/>
          <w:bCs/>
          <w:sz w:val="24"/>
          <w:szCs w:val="24"/>
        </w:rPr>
        <w:t>Turističke zajednice mjesta Božava</w:t>
      </w:r>
      <w:r>
        <w:rPr>
          <w:rFonts w:ascii="Times New Roman" w:hAnsi="Times New Roman" w:cs="Times New Roman"/>
          <w:sz w:val="24"/>
          <w:szCs w:val="24"/>
        </w:rPr>
        <w:t xml:space="preserve">. Plan obuhvaća </w:t>
      </w:r>
      <w:r>
        <w:rPr>
          <w:rFonts w:ascii="Times New Roman" w:hAnsi="Times New Roman" w:cs="Times New Roman"/>
          <w:b/>
          <w:bCs/>
          <w:sz w:val="24"/>
          <w:szCs w:val="24"/>
        </w:rPr>
        <w:t>administrativno područje Općine Sali</w:t>
      </w:r>
      <w:r>
        <w:rPr>
          <w:rFonts w:ascii="Times New Roman" w:hAnsi="Times New Roman" w:cs="Times New Roman"/>
          <w:sz w:val="24"/>
          <w:szCs w:val="24"/>
        </w:rPr>
        <w:t xml:space="preserve">, koje uključuje </w:t>
      </w:r>
      <w:r>
        <w:rPr>
          <w:rFonts w:ascii="Times New Roman" w:hAnsi="Times New Roman" w:cs="Times New Roman"/>
          <w:b/>
          <w:bCs/>
          <w:sz w:val="24"/>
          <w:szCs w:val="24"/>
        </w:rPr>
        <w:t>Dugi otok, otok Zverinac i otok Lavdaru</w:t>
      </w:r>
      <w:r>
        <w:rPr>
          <w:rFonts w:ascii="Times New Roman" w:hAnsi="Times New Roman" w:cs="Times New Roman"/>
          <w:sz w:val="24"/>
          <w:szCs w:val="24"/>
        </w:rPr>
        <w:t>.</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Plan predstavlja temelj za strateško i operativno upravljanje turističkim razvojem u destinaciji, a povezuje se s prostornim planovima, aktima strateškog planiranja, planovima upravljanja kulturnim dobrima i drugim relevantnim dokumentima. U skladu sa ZOT-om, Plan donosi predstavničko tijelo jedinice lokalne samouprave, na prijedlog turističkog vijeća TZ Dugi otok.</w:t>
      </w:r>
    </w:p>
    <w:p w:rsidR="00702E3C" w:rsidRDefault="004B1C8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Ovaj Plan vrijedi za razdoblje od 2025. do 2029. godine.</w:t>
      </w:r>
    </w:p>
    <w:p w:rsidR="00702E3C" w:rsidRDefault="002D0BA4">
      <w:pPr>
        <w:spacing w:line="360" w:lineRule="auto"/>
        <w:jc w:val="both"/>
        <w:rPr>
          <w:rFonts w:ascii="Times New Roman" w:hAnsi="Times New Roman" w:cs="Times New Roman"/>
          <w:b/>
          <w:bCs/>
          <w:sz w:val="24"/>
          <w:szCs w:val="24"/>
        </w:rPr>
      </w:pPr>
      <w:r>
        <w:rPr>
          <w:rFonts w:ascii="Times New Roman" w:hAnsi="Times New Roman" w:cs="Times New Roman"/>
          <w:sz w:val="24"/>
          <w:szCs w:val="24"/>
        </w:rPr>
        <w:pict>
          <v:rect id="_x0000_i1025"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1" w:name="_Toc217040634"/>
      <w:r>
        <w:rPr>
          <w:rFonts w:ascii="Times New Roman" w:hAnsi="Times New Roman" w:cs="Times New Roman"/>
          <w:color w:val="54A021" w:themeColor="accent2"/>
        </w:rPr>
        <w:t>Polazište i ciljevi Plana</w:t>
      </w:r>
      <w:bookmarkEnd w:id="1"/>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predstavlja </w:t>
      </w:r>
      <w:r>
        <w:rPr>
          <w:rFonts w:ascii="Times New Roman" w:hAnsi="Times New Roman" w:cs="Times New Roman"/>
          <w:b/>
          <w:bCs/>
          <w:sz w:val="24"/>
          <w:szCs w:val="24"/>
        </w:rPr>
        <w:t>planski dokument za razvoj održive destinacije</w:t>
      </w:r>
      <w:r>
        <w:rPr>
          <w:rFonts w:ascii="Times New Roman" w:hAnsi="Times New Roman" w:cs="Times New Roman"/>
          <w:sz w:val="24"/>
          <w:szCs w:val="24"/>
        </w:rPr>
        <w:t xml:space="preserve"> i izrađuje se za razdoblje od četiri godine. Svrha je Planom odrediti smjer razvoja destinacije u skladu s aktima strateškog planiranja, prostornim planovima, planom upravljanja kulturnim dobrima i drugim važećim planovima i propisima – s ciljem </w:t>
      </w:r>
      <w:r>
        <w:rPr>
          <w:rFonts w:ascii="Times New Roman" w:hAnsi="Times New Roman" w:cs="Times New Roman"/>
          <w:b/>
          <w:bCs/>
          <w:sz w:val="24"/>
          <w:szCs w:val="24"/>
        </w:rPr>
        <w:t>postizanja konkurentnosti, otpornosti i održivosti destinacije</w:t>
      </w:r>
      <w:r>
        <w:rPr>
          <w:rFonts w:ascii="Times New Roman" w:hAnsi="Times New Roman" w:cs="Times New Roman"/>
          <w:sz w:val="24"/>
          <w:szCs w:val="24"/>
        </w:rPr>
        <w:t>.</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Plan obuhvaća sljedeće elemente:</w:t>
      </w:r>
    </w:p>
    <w:p w:rsidR="00702E3C" w:rsidRDefault="004B1C8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analizu stanja,</w:t>
      </w:r>
    </w:p>
    <w:p w:rsidR="00702E3C" w:rsidRDefault="004B1C8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popis resursne osnove,</w:t>
      </w:r>
    </w:p>
    <w:p w:rsidR="00702E3C" w:rsidRDefault="004B1C8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obvezne pokazatelje održivosti na razini destinacije,</w:t>
      </w:r>
    </w:p>
    <w:p w:rsidR="00702E3C" w:rsidRDefault="004B1C8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razvojni smjer s mjerama i aktivnostima potrebnim za njegovo ostvarenje,</w:t>
      </w:r>
    </w:p>
    <w:p w:rsidR="00702E3C" w:rsidRDefault="004B1C8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prijedlog smjernica i preporuka za razvoj ili unaprjeđenje destinacije,</w:t>
      </w:r>
    </w:p>
    <w:p w:rsidR="00702E3C" w:rsidRDefault="004B1C8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popis projekata koji pridonose ostvarivanju mjera za postizanje održivosti,</w:t>
      </w:r>
    </w:p>
    <w:p w:rsidR="00702E3C" w:rsidRDefault="004B1C83">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popis projekata od posebnog značaja za razvoj destinacije.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Plan se izrađuje u sljedećim fazama:</w:t>
      </w:r>
    </w:p>
    <w:p w:rsidR="00702E3C" w:rsidRDefault="004B1C83">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pokretanje izrade Plana,</w:t>
      </w:r>
    </w:p>
    <w:p w:rsidR="00702E3C" w:rsidRDefault="004B1C83">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izrada prijedloga Plana,</w:t>
      </w:r>
    </w:p>
    <w:p w:rsidR="00702E3C" w:rsidRDefault="004B1C83">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javno savjetovanje o prijedlogu Plana,</w:t>
      </w:r>
    </w:p>
    <w:p w:rsidR="00702E3C" w:rsidRDefault="004B1C83">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donošenje odluke Turističkog vijeća Turističke zajednice općine Sali o prijedlogu Plana,</w:t>
      </w:r>
    </w:p>
    <w:p w:rsidR="00702E3C" w:rsidRDefault="004B1C83">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usvajanje Plana od strane Općinskog vijeća Općine Sali,</w:t>
      </w:r>
    </w:p>
    <w:p w:rsidR="00702E3C" w:rsidRDefault="004B1C83">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objava Plana u Službenom glasniku Općine Sali i na mrežnim stranicama TZ općine Sali,</w:t>
      </w:r>
    </w:p>
    <w:p w:rsidR="00702E3C" w:rsidRDefault="004B1C83">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dostava popisa projekata Ministarstvu turizma i sporta.</w:t>
      </w:r>
    </w:p>
    <w:p w:rsidR="00702E3C" w:rsidRDefault="002D0BA4">
      <w:pPr>
        <w:spacing w:line="360" w:lineRule="auto"/>
        <w:jc w:val="both"/>
        <w:rPr>
          <w:rFonts w:ascii="Times New Roman" w:hAnsi="Times New Roman" w:cs="Times New Roman"/>
          <w:sz w:val="24"/>
          <w:szCs w:val="24"/>
        </w:rPr>
      </w:pPr>
      <w:bookmarkStart w:id="2" w:name="_Hlk204596225"/>
      <w:r>
        <w:rPr>
          <w:rFonts w:ascii="Times New Roman" w:hAnsi="Times New Roman" w:cs="Times New Roman"/>
          <w:sz w:val="24"/>
          <w:szCs w:val="24"/>
        </w:rPr>
        <w:pict>
          <v:rect id="_x0000_i1026" style="width:0;height:1.5pt" o:hralign="center" o:hrstd="t" o:hr="t" fillcolor="#a0a0a0" stroked="f"/>
        </w:pict>
      </w:r>
      <w:bookmarkEnd w:id="2"/>
    </w:p>
    <w:p w:rsidR="00702E3C" w:rsidRDefault="004B1C83">
      <w:pPr>
        <w:pStyle w:val="Naslov2"/>
        <w:numPr>
          <w:ilvl w:val="1"/>
          <w:numId w:val="1"/>
        </w:numPr>
        <w:rPr>
          <w:rFonts w:ascii="Times New Roman" w:hAnsi="Times New Roman" w:cs="Times New Roman"/>
          <w:color w:val="54A021" w:themeColor="accent2"/>
        </w:rPr>
      </w:pPr>
      <w:bookmarkStart w:id="3" w:name="_Toc217040635"/>
      <w:r>
        <w:rPr>
          <w:rFonts w:ascii="Times New Roman" w:hAnsi="Times New Roman" w:cs="Times New Roman"/>
          <w:color w:val="54A021" w:themeColor="accent2"/>
        </w:rPr>
        <w:t>Metodologija rada</w:t>
      </w:r>
      <w:bookmarkEnd w:id="3"/>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Metodologija izrade ovog Plana upravljanja zasniva se na kombinaciji znanstvenih metodologija korištenih od strane više autora, specifičnostima prostora </w:t>
      </w:r>
      <w:r>
        <w:rPr>
          <w:rFonts w:ascii="Times New Roman" w:hAnsi="Times New Roman" w:cs="Times New Roman"/>
          <w:b/>
          <w:bCs/>
          <w:sz w:val="24"/>
          <w:szCs w:val="24"/>
        </w:rPr>
        <w:t>Općine Sali</w:t>
      </w:r>
      <w:r>
        <w:rPr>
          <w:rFonts w:ascii="Times New Roman" w:hAnsi="Times New Roman" w:cs="Times New Roman"/>
          <w:sz w:val="24"/>
          <w:szCs w:val="24"/>
        </w:rPr>
        <w:t xml:space="preserve"> te različitim pristupima u procjeni koji su čimbenici ključni za definiranje smjera održivog upravljanja destinacijom. Uz navedeno, korišteni su i elementi drugih metodoloških pristupa razvijenih u kontekstu lokalnog i regionalnog planiranja.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Temeljni okvir izrade čine </w:t>
      </w:r>
      <w:r>
        <w:rPr>
          <w:rFonts w:ascii="Times New Roman" w:hAnsi="Times New Roman" w:cs="Times New Roman"/>
          <w:b/>
          <w:bCs/>
          <w:sz w:val="24"/>
          <w:szCs w:val="24"/>
        </w:rPr>
        <w:t xml:space="preserve">Smjernice i upute za izradu plana upravljanja destinacijom </w:t>
      </w:r>
      <w:r>
        <w:rPr>
          <w:rFonts w:ascii="Times New Roman" w:hAnsi="Times New Roman" w:cs="Times New Roman"/>
          <w:sz w:val="24"/>
          <w:szCs w:val="24"/>
        </w:rPr>
        <w:t xml:space="preserve">(u daljnjem tekstu </w:t>
      </w:r>
      <w:r>
        <w:rPr>
          <w:rFonts w:ascii="Times New Roman" w:hAnsi="Times New Roman" w:cs="Times New Roman"/>
          <w:b/>
          <w:bCs/>
          <w:sz w:val="24"/>
          <w:szCs w:val="24"/>
        </w:rPr>
        <w:t>Smjernice</w:t>
      </w:r>
      <w:r>
        <w:rPr>
          <w:rFonts w:ascii="Times New Roman" w:hAnsi="Times New Roman" w:cs="Times New Roman"/>
          <w:sz w:val="24"/>
          <w:szCs w:val="24"/>
        </w:rPr>
        <w:t xml:space="preserve">) koje je izdalo </w:t>
      </w:r>
      <w:r>
        <w:rPr>
          <w:rFonts w:ascii="Times New Roman" w:hAnsi="Times New Roman" w:cs="Times New Roman"/>
          <w:b/>
          <w:bCs/>
          <w:sz w:val="24"/>
          <w:szCs w:val="24"/>
        </w:rPr>
        <w:t>Ministarstvo turizma i sporta</w:t>
      </w:r>
      <w:r>
        <w:rPr>
          <w:rFonts w:ascii="Times New Roman" w:hAnsi="Times New Roman" w:cs="Times New Roman"/>
          <w:sz w:val="24"/>
          <w:szCs w:val="24"/>
        </w:rPr>
        <w:t xml:space="preserve"> u rujnu 2024. godine, a koje su usklađene sa ZOT-om</w:t>
      </w:r>
      <w:r>
        <w:rPr>
          <w:rFonts w:ascii="Times New Roman" w:hAnsi="Times New Roman" w:cs="Times New Roman"/>
          <w:b/>
          <w:bCs/>
          <w:sz w:val="24"/>
          <w:szCs w:val="24"/>
        </w:rPr>
        <w:t xml:space="preserve"> </w:t>
      </w:r>
      <w:r>
        <w:rPr>
          <w:rFonts w:ascii="Times New Roman" w:hAnsi="Times New Roman" w:cs="Times New Roman"/>
          <w:sz w:val="24"/>
          <w:szCs w:val="24"/>
        </w:rPr>
        <w:t>te Pravilnikom.</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obzirom na vrijeme objave navedenih propisa i smjernica, izrada Plana je započela nešto kasnije od prvotno predviđenih rokova iz ZOT-a. Međutim, dokument se donosi u razumnom </w:t>
      </w:r>
      <w:r>
        <w:rPr>
          <w:rFonts w:ascii="Times New Roman" w:hAnsi="Times New Roman" w:cs="Times New Roman"/>
          <w:sz w:val="24"/>
          <w:szCs w:val="24"/>
        </w:rPr>
        <w:lastRenderedPageBreak/>
        <w:t>vremenskom okviru kako bi njegova primjena započela</w:t>
      </w:r>
      <w:r>
        <w:rPr>
          <w:rFonts w:ascii="Times New Roman" w:hAnsi="Times New Roman" w:cs="Times New Roman"/>
          <w:b/>
          <w:bCs/>
          <w:sz w:val="24"/>
          <w:szCs w:val="24"/>
        </w:rPr>
        <w:t xml:space="preserve"> 2025. godine</w:t>
      </w:r>
      <w:r>
        <w:rPr>
          <w:rFonts w:ascii="Times New Roman" w:hAnsi="Times New Roman" w:cs="Times New Roman"/>
          <w:sz w:val="24"/>
          <w:szCs w:val="24"/>
        </w:rPr>
        <w:t>, dok će se eventualne prilagodbe i izmjene vršiti u narednim godinama.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Metodološki pristup temelji se na uključivanju i participaciji </w:t>
      </w:r>
      <w:r>
        <w:rPr>
          <w:rFonts w:ascii="Times New Roman" w:hAnsi="Times New Roman" w:cs="Times New Roman"/>
          <w:b/>
          <w:bCs/>
          <w:sz w:val="24"/>
          <w:szCs w:val="24"/>
        </w:rPr>
        <w:t>relevantnih dionika u destinaciji</w:t>
      </w:r>
      <w:r>
        <w:rPr>
          <w:rFonts w:ascii="Times New Roman" w:hAnsi="Times New Roman" w:cs="Times New Roman"/>
          <w:sz w:val="24"/>
          <w:szCs w:val="24"/>
        </w:rPr>
        <w:t>, s ciljem osiguravanja njihove informiranosti, podrške i suradnje u implementaciji mjera iz Plana. U procesu izrade provedeni su dubinski intervjui s ključnim dionicima koje je identificirala Turistička zajednica Dugi otok, a rezultati i ciljevi Plana prezentirat će se široj javnosti tijekom procesa javnog savjetovanja.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se izrađuje prema propisanim koracima iz Smjernica, uključujući sve faze budući da </w:t>
      </w:r>
      <w:r>
        <w:rPr>
          <w:rFonts w:ascii="Times New Roman" w:hAnsi="Times New Roman" w:cs="Times New Roman"/>
          <w:b/>
          <w:bCs/>
          <w:sz w:val="24"/>
          <w:szCs w:val="24"/>
        </w:rPr>
        <w:t>Općina Sali</w:t>
      </w:r>
      <w:r>
        <w:rPr>
          <w:rFonts w:ascii="Times New Roman" w:hAnsi="Times New Roman" w:cs="Times New Roman"/>
          <w:sz w:val="24"/>
          <w:szCs w:val="24"/>
        </w:rPr>
        <w:t xml:space="preserve"> pripada </w:t>
      </w:r>
      <w:r>
        <w:rPr>
          <w:rFonts w:ascii="Times New Roman" w:hAnsi="Times New Roman" w:cs="Times New Roman"/>
          <w:b/>
          <w:bCs/>
          <w:sz w:val="24"/>
          <w:szCs w:val="24"/>
        </w:rPr>
        <w:t>II. kategoriji indeksa turističke razvijenosti</w:t>
      </w:r>
      <w:r>
        <w:rPr>
          <w:rFonts w:ascii="Times New Roman" w:hAnsi="Times New Roman" w:cs="Times New Roman"/>
          <w:sz w:val="24"/>
          <w:szCs w:val="24"/>
        </w:rPr>
        <w:t xml:space="preserve"> te se izračun prihvatnog kapaciteta u ovom slučaju primjenjuje (za razliku od destinacija III. i IV. kategorije gdje nije obvezan).</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Proces rada odvijao se kroz tri ključna koraka:</w:t>
      </w:r>
    </w:p>
    <w:p w:rsidR="00702E3C" w:rsidRDefault="004B1C83">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Analiza postojećeg stanja</w:t>
      </w:r>
      <w:r>
        <w:rPr>
          <w:rFonts w:ascii="Times New Roman" w:hAnsi="Times New Roman" w:cs="Times New Roman"/>
          <w:sz w:val="24"/>
          <w:szCs w:val="24"/>
        </w:rPr>
        <w:t xml:space="preserve"> – utvrđeni su svi elementi koji utječu na fizičku i društvenu komponentu razvoja destinacije, njihova važnost u razvoju, te izvori podataka relevantni za njihovu procjenu.</w:t>
      </w:r>
    </w:p>
    <w:p w:rsidR="00702E3C" w:rsidRDefault="004B1C83">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Terenski rad i participacija dionika</w:t>
      </w:r>
      <w:r>
        <w:rPr>
          <w:rFonts w:ascii="Times New Roman" w:hAnsi="Times New Roman" w:cs="Times New Roman"/>
          <w:sz w:val="24"/>
          <w:szCs w:val="24"/>
        </w:rPr>
        <w:t xml:space="preserve"> – u suradnji s TZ Dugi otok obišli su se ključni lokaliteti i atrakcije s ciljem stvaranja tematsko-interpretativnog okvira i prepoznavanja identitetskih vrijednosti destinacije. Uključeni su predstavnici lokalnih interesnih skupina, lokalne samouprave, kulturnih institucija i stručnjaka različitih profila kako bi se postigao maksimalan konsenzus oko razvojnih prioriteta.</w:t>
      </w:r>
    </w:p>
    <w:p w:rsidR="00702E3C" w:rsidRDefault="004B1C83">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Kabinet ('desk') istraživanja</w:t>
      </w:r>
      <w:r>
        <w:rPr>
          <w:rFonts w:ascii="Times New Roman" w:hAnsi="Times New Roman" w:cs="Times New Roman"/>
          <w:sz w:val="24"/>
          <w:szCs w:val="24"/>
        </w:rPr>
        <w:t xml:space="preserve"> – provedena su temeljem brojnih sekundarnih izvora informacija: znanstvene i stručne literature, dostupnih statistika, prostornih planova i sektorskih izvješća.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Analizirani su sljedeći sekundarni podaci:</w:t>
      </w:r>
    </w:p>
    <w:p w:rsidR="00702E3C" w:rsidRDefault="004B1C8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podaci o stanovništvu (Popis 2021. i drugi izvori),</w:t>
      </w:r>
    </w:p>
    <w:p w:rsidR="00702E3C" w:rsidRDefault="004B1C8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gospodarske aktivnosti, turistički kapaciteti i promet (izvori: DZS, eVisitor),</w:t>
      </w:r>
    </w:p>
    <w:p w:rsidR="00702E3C" w:rsidRDefault="004B1C8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komunalna i prometna infrastruktura,</w:t>
      </w:r>
    </w:p>
    <w:p w:rsidR="00702E3C" w:rsidRDefault="004B1C8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istraživanja stavova lokalnog stanovništva o turizmu,</w:t>
      </w:r>
    </w:p>
    <w:p w:rsidR="00702E3C" w:rsidRDefault="004B1C8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prostorni planovi Općine Sali i Zadarske županije,</w:t>
      </w:r>
    </w:p>
    <w:p w:rsidR="00702E3C" w:rsidRDefault="004B1C8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izvješća javnih poduzeća (HEP, Vodovod, komunalna društva),</w:t>
      </w:r>
    </w:p>
    <w:p w:rsidR="00702E3C" w:rsidRDefault="004B1C83">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planovi gospodarskog i turističkog razvoja Zadarske županije.</w:t>
      </w:r>
    </w:p>
    <w:p w:rsidR="00702E3C" w:rsidRDefault="004B1C83">
      <w:pPr>
        <w:pStyle w:val="Naslov2"/>
        <w:numPr>
          <w:ilvl w:val="1"/>
          <w:numId w:val="1"/>
        </w:numPr>
        <w:rPr>
          <w:rFonts w:ascii="Times New Roman" w:hAnsi="Times New Roman" w:cs="Times New Roman"/>
          <w:color w:val="54A021" w:themeColor="accent2"/>
        </w:rPr>
      </w:pPr>
      <w:bookmarkStart w:id="4" w:name="_Toc217040636"/>
      <w:r>
        <w:rPr>
          <w:rFonts w:ascii="Times New Roman" w:hAnsi="Times New Roman" w:cs="Times New Roman"/>
          <w:color w:val="54A021" w:themeColor="accent2"/>
        </w:rPr>
        <w:t>Ključni dionici</w:t>
      </w:r>
      <w:bookmarkEnd w:id="4"/>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Upravljanje razvojem turizma na Dugom otoku zahtijeva koordiniran pristup i aktivno sudjelovanje svih relevantnih dionika. Turistička zajednica Dugi otok, kao nositelj izrade Plana, prepoznaje važnost uključivanja lokalne zajednice, gospodarskih subjekata, javnog i civilnog sektora te institucija koje djeluju na području destinacije. Svaki od dionika ima specifičnu ulogu u budućem razvoju turizma te, sukladno tome, treba preuzeti odgovornost za provedbu mjera i aktivnosti iz Plana.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 proces izrade Plana uključeni su:</w:t>
      </w:r>
    </w:p>
    <w:p w:rsidR="00702E3C" w:rsidRDefault="004B1C83">
      <w:pPr>
        <w:pStyle w:val="Odlomakpopis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Općine Sali kao jedinice lokalne samouprave,</w:t>
      </w:r>
    </w:p>
    <w:p w:rsidR="00702E3C" w:rsidRDefault="004B1C83">
      <w:pPr>
        <w:pStyle w:val="Odlomakpopis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Turističke zajednice Dugi otok i TZ mjesta Božava,</w:t>
      </w:r>
    </w:p>
    <w:p w:rsidR="00702E3C" w:rsidRDefault="004B1C83">
      <w:pPr>
        <w:pStyle w:val="Odlomakpopis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Parka prirode Telašćica i Nacionalnog parka Kornati,</w:t>
      </w:r>
    </w:p>
    <w:p w:rsidR="00702E3C" w:rsidRDefault="004B1C83">
      <w:pPr>
        <w:pStyle w:val="Odlomakpopis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komunalnih društava i infrastrukturnih ustanova (npr. HEP, Vodovod, Mulić d.o.o.),</w:t>
      </w:r>
    </w:p>
    <w:p w:rsidR="00702E3C" w:rsidRDefault="004B1C83">
      <w:pPr>
        <w:pStyle w:val="Odlomakpopis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privatni iznajmljivači, ugostitelji, OPG-ovi, turističke agencije i drugi pružatelji usluga,</w:t>
      </w:r>
    </w:p>
    <w:p w:rsidR="00702E3C" w:rsidRDefault="004B1C83">
      <w:pPr>
        <w:pStyle w:val="Odlomakpopis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udruga, kulturnih i sportskih društava, DVD-ova te drugih oblika civilnog društva,</w:t>
      </w:r>
    </w:p>
    <w:p w:rsidR="00702E3C" w:rsidRDefault="004B1C83">
      <w:pPr>
        <w:pStyle w:val="Odlomakpopis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predstavnici obrazovnog i javnog sektora (npr.sveučilišta, škole, zdravstvene ustanove).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Kroz javne konzultacije, fokusirane radionice i intervjue omogućeno je iznošenje mišljenja, potreba i prijedloga dionika, kako bi Plan bio usklađen s realnim stanjem i interesima zajednice. U fazi provedbe Plana predviđeno je kontinuirano uključivanje dionika kroz koordinacijske sastanke, praćenje pokazatelja održivosti i zajedničko kreiranje projektnih prijedloga. Njihova uloga bit će ključna i u prikupljanju podataka za potrebe izvještavanja o provedbi Plana.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 jasnije razumijevanje međusobnih odnosa i utjecaja, izrađena je </w:t>
      </w:r>
      <w:r>
        <w:rPr>
          <w:rFonts w:ascii="Times New Roman" w:hAnsi="Times New Roman" w:cs="Times New Roman"/>
          <w:b/>
          <w:bCs/>
          <w:sz w:val="24"/>
          <w:szCs w:val="24"/>
        </w:rPr>
        <w:t>mapa dionika (Tablica 1)</w:t>
      </w:r>
      <w:r>
        <w:rPr>
          <w:rFonts w:ascii="Times New Roman" w:hAnsi="Times New Roman" w:cs="Times New Roman"/>
          <w:sz w:val="24"/>
          <w:szCs w:val="24"/>
        </w:rPr>
        <w:t>, a u nastavku se prikazuju glavne skupine dionika i način njihova uključivanja:</w:t>
      </w:r>
    </w:p>
    <w:p w:rsidR="00702E3C" w:rsidRDefault="00702E3C">
      <w:pPr>
        <w:spacing w:line="360" w:lineRule="auto"/>
        <w:jc w:val="both"/>
        <w:rPr>
          <w:rFonts w:ascii="Times New Roman" w:hAnsi="Times New Roman" w:cs="Times New Roman"/>
          <w:sz w:val="24"/>
          <w:szCs w:val="24"/>
        </w:rPr>
      </w:pPr>
    </w:p>
    <w:p w:rsidR="006B12FC" w:rsidRDefault="006B12FC">
      <w:pPr>
        <w:spacing w:line="360" w:lineRule="auto"/>
        <w:jc w:val="both"/>
        <w:rPr>
          <w:rFonts w:ascii="Times New Roman" w:hAnsi="Times New Roman" w:cs="Times New Roman"/>
          <w:sz w:val="24"/>
          <w:szCs w:val="24"/>
        </w:rPr>
      </w:pPr>
    </w:p>
    <w:p w:rsidR="006B12FC" w:rsidRDefault="006B12FC">
      <w:pPr>
        <w:spacing w:line="360" w:lineRule="auto"/>
        <w:jc w:val="both"/>
        <w:rPr>
          <w:rFonts w:ascii="Times New Roman" w:hAnsi="Times New Roman" w:cs="Times New Roman"/>
          <w:sz w:val="24"/>
          <w:szCs w:val="24"/>
        </w:rPr>
      </w:pPr>
    </w:p>
    <w:p w:rsidR="006B12FC" w:rsidRDefault="006B12FC">
      <w:pPr>
        <w:spacing w:line="360" w:lineRule="auto"/>
        <w:jc w:val="both"/>
        <w:rPr>
          <w:rFonts w:ascii="Times New Roman" w:hAnsi="Times New Roman" w:cs="Times New Roman"/>
          <w:sz w:val="24"/>
          <w:szCs w:val="24"/>
        </w:rPr>
      </w:pPr>
    </w:p>
    <w:tbl>
      <w:tblPr>
        <w:tblStyle w:val="Reetkatablice"/>
        <w:tblW w:w="0" w:type="auto"/>
        <w:jc w:val="center"/>
        <w:tblLook w:val="04A0" w:firstRow="1" w:lastRow="0" w:firstColumn="1" w:lastColumn="0" w:noHBand="0" w:noVBand="1"/>
      </w:tblPr>
      <w:tblGrid>
        <w:gridCol w:w="2880"/>
        <w:gridCol w:w="2880"/>
        <w:gridCol w:w="2880"/>
      </w:tblGrid>
      <w:tr w:rsidR="00702E3C">
        <w:trPr>
          <w:jc w:val="center"/>
        </w:trPr>
        <w:tc>
          <w:tcPr>
            <w:tcW w:w="2880" w:type="dxa"/>
            <w:shd w:val="clear" w:color="auto" w:fill="A3DBFF"/>
          </w:tcPr>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Glavni dionici</w:t>
            </w:r>
          </w:p>
        </w:tc>
        <w:tc>
          <w:tcPr>
            <w:tcW w:w="2880" w:type="dxa"/>
            <w:shd w:val="clear" w:color="auto" w:fill="76E3FF"/>
          </w:tcPr>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Tko</w:t>
            </w:r>
          </w:p>
        </w:tc>
        <w:tc>
          <w:tcPr>
            <w:tcW w:w="2880" w:type="dxa"/>
            <w:shd w:val="clear" w:color="auto" w:fill="00B0F0"/>
          </w:tcPr>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Kako su uključeni</w:t>
            </w:r>
          </w:p>
        </w:tc>
      </w:tr>
      <w:tr w:rsidR="00702E3C">
        <w:trPr>
          <w:jc w:val="center"/>
        </w:trPr>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Lokalne i regionalne vlasti</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Općina Sali, Zadarska županija</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Postavljanje strateških ciljeva i davanje pravnog okvira</w:t>
            </w:r>
          </w:p>
        </w:tc>
      </w:tr>
      <w:tr w:rsidR="00702E3C">
        <w:trPr>
          <w:jc w:val="center"/>
        </w:trPr>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Turističke zajednice</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TZ Dugi otok, TZ mjesta Božava</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Nositelj izrade Plana, koordinacija svih aktivnosti i dionika</w:t>
            </w:r>
          </w:p>
        </w:tc>
      </w:tr>
      <w:tr w:rsidR="00702E3C">
        <w:trPr>
          <w:jc w:val="center"/>
        </w:trPr>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Privatni sektor</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Iznajmljivači, ugostitelji, prijevoznici, ronilački centri, OPG-ovi</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Sudjeluju u razvoju ponude i pružanju usluga posjetiteljima</w:t>
            </w:r>
          </w:p>
        </w:tc>
      </w:tr>
      <w:tr w:rsidR="00702E3C">
        <w:trPr>
          <w:jc w:val="center"/>
        </w:trPr>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Lokalno stanovništvo</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Stanovnici svih naselja na Dugom otoku, Zverincu i Lavdari</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Sudjelovali kroz konzultacije i davanje prijedloga</w:t>
            </w:r>
          </w:p>
        </w:tc>
      </w:tr>
      <w:tr w:rsidR="00702E3C">
        <w:trPr>
          <w:jc w:val="center"/>
        </w:trPr>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Nevladine organizacije (NVO)</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Kulturne i okolišne udruge, građanske inicijative</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Zastupanje interesa zajednice, doprinos očuvanju baštine i prirode</w:t>
            </w:r>
          </w:p>
        </w:tc>
      </w:tr>
      <w:tr w:rsidR="00702E3C">
        <w:trPr>
          <w:jc w:val="center"/>
        </w:trPr>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Stručnjaci</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Instituti, konzultanti, istraživači</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Ekspertiza u analizi i izradi prijedloga mjera i projekata</w:t>
            </w:r>
          </w:p>
        </w:tc>
      </w:tr>
      <w:tr w:rsidR="00702E3C">
        <w:trPr>
          <w:jc w:val="center"/>
        </w:trPr>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Javne ustanove i komunalna društva</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JU PP Telašćica, Natura Jadera, HEP, Vodovod, Mulić d.o.o., UNIZD, Konzervatorski odjel u ZD-u, OŠ Petar Lorini i dr.</w:t>
            </w:r>
          </w:p>
        </w:tc>
        <w:tc>
          <w:tcPr>
            <w:tcW w:w="2880" w:type="dxa"/>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Suradnja u upravljanju resursima i planiranju zahvata</w:t>
            </w:r>
          </w:p>
        </w:tc>
      </w:tr>
    </w:tbl>
    <w:p w:rsidR="00702E3C" w:rsidRDefault="00702E3C">
      <w:pPr>
        <w:spacing w:line="360" w:lineRule="auto"/>
        <w:jc w:val="both"/>
        <w:rPr>
          <w:rFonts w:ascii="Times New Roman" w:hAnsi="Times New Roman" w:cs="Times New Roman"/>
          <w:sz w:val="24"/>
          <w:szCs w:val="24"/>
        </w:rPr>
      </w:pP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Tablica 1. Mapa dionika</w:t>
      </w:r>
    </w:p>
    <w:p w:rsidR="00702E3C" w:rsidRDefault="00702E3C">
      <w:pPr>
        <w:spacing w:line="360" w:lineRule="auto"/>
        <w:jc w:val="center"/>
        <w:rPr>
          <w:rFonts w:ascii="Times New Roman" w:hAnsi="Times New Roman" w:cs="Times New Roman"/>
          <w:sz w:val="24"/>
          <w:szCs w:val="24"/>
        </w:rPr>
      </w:pPr>
    </w:p>
    <w:p w:rsidR="00702E3C" w:rsidRDefault="00702E3C">
      <w:pPr>
        <w:spacing w:line="360" w:lineRule="auto"/>
        <w:jc w:val="center"/>
        <w:rPr>
          <w:rFonts w:ascii="Times New Roman" w:hAnsi="Times New Roman" w:cs="Times New Roman"/>
          <w:sz w:val="24"/>
          <w:szCs w:val="24"/>
        </w:rPr>
      </w:pPr>
    </w:p>
    <w:p w:rsidR="006B12FC" w:rsidRDefault="006B12FC">
      <w:pPr>
        <w:spacing w:line="360" w:lineRule="auto"/>
        <w:jc w:val="center"/>
        <w:rPr>
          <w:rFonts w:ascii="Times New Roman" w:hAnsi="Times New Roman" w:cs="Times New Roman"/>
          <w:sz w:val="24"/>
          <w:szCs w:val="24"/>
        </w:rPr>
      </w:pPr>
    </w:p>
    <w:p w:rsidR="00702E3C" w:rsidRDefault="004B1C83">
      <w:pPr>
        <w:pStyle w:val="Naslov2"/>
        <w:numPr>
          <w:ilvl w:val="1"/>
          <w:numId w:val="1"/>
        </w:numPr>
        <w:rPr>
          <w:rFonts w:ascii="Times New Roman" w:hAnsi="Times New Roman" w:cs="Times New Roman"/>
          <w:color w:val="54A021" w:themeColor="accent2"/>
        </w:rPr>
      </w:pPr>
      <w:bookmarkStart w:id="5" w:name="_Toc217040637"/>
      <w:r>
        <w:rPr>
          <w:rFonts w:ascii="Times New Roman" w:hAnsi="Times New Roman" w:cs="Times New Roman"/>
          <w:color w:val="54A021" w:themeColor="accent2"/>
        </w:rPr>
        <w:t>Profil odredišta/baze osnovnih informacija o destinaciji</w:t>
      </w:r>
      <w:bookmarkEnd w:id="5"/>
      <w:r>
        <w:rPr>
          <w:rFonts w:ascii="Times New Roman" w:hAnsi="Times New Roman" w:cs="Times New Roman"/>
          <w:color w:val="54A021" w:themeColor="accent2"/>
        </w:rPr>
        <w:t xml:space="preserve"> </w:t>
      </w:r>
    </w:p>
    <w:p w:rsidR="00702E3C" w:rsidRDefault="00702E3C">
      <w:pPr>
        <w:rPr>
          <w:rFonts w:ascii="Times New Roman" w:hAnsi="Times New Roman" w:cs="Times New Roman"/>
        </w:rPr>
      </w:pPr>
    </w:p>
    <w:tbl>
      <w:tblPr>
        <w:tblStyle w:val="Tablicapopisa4-isticanje11"/>
        <w:tblW w:w="5000" w:type="pct"/>
        <w:jc w:val="center"/>
        <w:tblBorders>
          <w:top w:val="single" w:sz="12" w:space="0" w:color="90C226" w:themeColor="accent1"/>
          <w:left w:val="single" w:sz="12" w:space="0" w:color="90C226" w:themeColor="accent1"/>
          <w:bottom w:val="single" w:sz="12" w:space="0" w:color="90C226" w:themeColor="accent1"/>
          <w:right w:val="single" w:sz="12" w:space="0" w:color="90C226" w:themeColor="accent1"/>
          <w:insideH w:val="single" w:sz="12" w:space="0" w:color="90C226" w:themeColor="accent1"/>
          <w:insideV w:val="single" w:sz="12" w:space="0" w:color="90C226" w:themeColor="accent1"/>
        </w:tblBorders>
        <w:tblLayout w:type="fixed"/>
        <w:tblLook w:val="04A0" w:firstRow="1" w:lastRow="0" w:firstColumn="1" w:lastColumn="0" w:noHBand="0" w:noVBand="1"/>
      </w:tblPr>
      <w:tblGrid>
        <w:gridCol w:w="2122"/>
        <w:gridCol w:w="1985"/>
        <w:gridCol w:w="4955"/>
      </w:tblGrid>
      <w:tr w:rsidR="00702E3C" w:rsidTr="00702E3C">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171" w:type="pct"/>
            <w:noWrap/>
          </w:tcPr>
          <w:p w:rsidR="00702E3C" w:rsidRDefault="004B1C83">
            <w:pPr>
              <w:spacing w:after="0" w:line="240" w:lineRule="auto"/>
              <w:jc w:val="center"/>
              <w:rPr>
                <w:rFonts w:ascii="Times New Roman" w:hAnsi="Times New Roman" w:cs="Times New Roman"/>
              </w:rPr>
            </w:pPr>
            <w:bookmarkStart w:id="6" w:name="_Hlk204453573"/>
            <w:r>
              <w:rPr>
                <w:rFonts w:ascii="Times New Roman" w:hAnsi="Times New Roman" w:cs="Times New Roman"/>
                <w:color w:val="auto"/>
              </w:rPr>
              <w:t>Pokazatelj</w:t>
            </w:r>
          </w:p>
        </w:tc>
        <w:tc>
          <w:tcPr>
            <w:tcW w:w="1095" w:type="pct"/>
          </w:tcPr>
          <w:p w:rsidR="00702E3C" w:rsidRDefault="004B1C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auto"/>
              </w:rPr>
              <w:t>2024 godina</w:t>
            </w:r>
          </w:p>
        </w:tc>
        <w:tc>
          <w:tcPr>
            <w:tcW w:w="2734" w:type="pct"/>
          </w:tcPr>
          <w:p w:rsidR="00702E3C" w:rsidRDefault="004B1C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auto"/>
              </w:rPr>
              <w:t>Izvor / Napomena</w:t>
            </w:r>
          </w:p>
        </w:tc>
      </w:tr>
      <w:tr w:rsidR="00702E3C" w:rsidTr="00702E3C">
        <w:trPr>
          <w:trHeight w:val="26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DAF4CA" w:themeFill="accent2" w:themeFillTint="33"/>
            <w:noWrap/>
          </w:tcPr>
          <w:p w:rsidR="00702E3C" w:rsidRDefault="004B1C83">
            <w:pPr>
              <w:spacing w:after="0" w:line="240" w:lineRule="auto"/>
              <w:jc w:val="center"/>
              <w:rPr>
                <w:rFonts w:ascii="Times New Roman" w:hAnsi="Times New Roman" w:cs="Times New Roman"/>
                <w:b w:val="0"/>
                <w:bCs w:val="0"/>
              </w:rPr>
            </w:pPr>
            <w:r>
              <w:rPr>
                <w:rFonts w:ascii="Times New Roman" w:hAnsi="Times New Roman" w:cs="Times New Roman"/>
              </w:rPr>
              <w:t>Lokacija</w:t>
            </w:r>
          </w:p>
        </w:tc>
        <w:tc>
          <w:tcPr>
            <w:tcW w:w="3829" w:type="pct"/>
            <w:gridSpan w:val="2"/>
            <w:shd w:val="clear" w:color="auto" w:fill="DAF4CA" w:themeFill="accent2" w:themeFillTint="33"/>
          </w:tcPr>
          <w:p w:rsidR="00702E3C" w:rsidRDefault="004B1C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Općina Sali</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Broj stanovnika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1698</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DZS 2021.</w:t>
            </w:r>
            <w:r>
              <w:rPr>
                <w:rStyle w:val="Referencafusnote"/>
                <w:rFonts w:ascii="Times New Roman" w:hAnsi="Times New Roman"/>
              </w:rPr>
              <w:footnoteReference w:id="1"/>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Broj naselja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Sali, Zaglav, Žman, Luka, Brbinj, Savar, Dragove, Božava, Soline, Veli rat, Zverinac (+ Lavdara)</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Broj turističkih dolazaka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14.568</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DZS / SI-1739-2025</w:t>
            </w:r>
            <w:r>
              <w:rPr>
                <w:rStyle w:val="Referencafusnote"/>
                <w:rFonts w:ascii="Times New Roman" w:hAnsi="Times New Roman"/>
              </w:rPr>
              <w:footnoteReference w:id="2"/>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Broj noćenja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126.011</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DZS / SI-1739-2025</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Prosječna duljina boravka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8,6 dana</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Izračun: 126.011/14.658</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Struktura gostiju</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90% strani 10% domaći</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DZS / SI-1739-2025</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Broj kreveta u komercijalnom smještaju</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Ukupno: 4.951</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DZS, kategorija stalni kapaciteti</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Turistički kapaciteti</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Privatni smještaj, hoteli, kampovi</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88% ukupnog smještaja čini privatni smještaj, turistička naselja: Hotel Luka **, Hotel Sali **, hoteli: Hoteli Božava ***, botique hotel: Vila Nai*****, kampovi: kamp Kargita, kamp Mandarino *****. Privatni smještaj u rasponu od ** do ****.</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Emitivna tržišta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Njemačka, Austrija, Slovenija</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Više od 60 % noćenja iz ta tri tržišta</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Glavni oblici turizma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Nautički, kupališni, aktivni, kulturni, obiteljski</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DSZ / SI-1739-2025. Glavni turistički proizvodi Dugog otoka uključuju kupališni i nautički turizam, koji dominiraju tijekom ljetne sezone zahvaljujući prirodnim atrakcijama poput plaže Sakarun, Parka prirode Telašćica i razvijenih sidrišta. Osim toga, sve veću ulogu imaju aktivni turizam (biciklizam, planinarenje, kajak), kulturni i baštinski turizam te robinzonski i ekološki oblici odmora povezani s autentičnim otočnim ambijentom.</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Turističke atrakcije</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Zaštićena područja, kulturna baština, vidikovci</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Park prirode Telašćica, botanički rezervat Saljsko polje (maslinik), zaštićeni krajobraz SZ dio Dugog </w:t>
            </w:r>
            <w:r>
              <w:rPr>
                <w:rFonts w:ascii="Times New Roman" w:hAnsi="Times New Roman"/>
              </w:rPr>
              <w:lastRenderedPageBreak/>
              <w:t>otoka, Natura 2000, kulturna baština i manifestacije, uvale i prirode plaže</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702E3C">
            <w:pPr>
              <w:spacing w:after="0" w:line="240" w:lineRule="auto"/>
              <w:rPr>
                <w:rFonts w:ascii="Times New Roman" w:hAnsi="Times New Roman" w:cs="Times New Roman"/>
                <w:b w:val="0"/>
                <w:bCs w:val="0"/>
              </w:rPr>
            </w:pPr>
          </w:p>
        </w:tc>
        <w:tc>
          <w:tcPr>
            <w:tcW w:w="1095" w:type="pct"/>
          </w:tcPr>
          <w:p w:rsidR="00702E3C" w:rsidRDefault="00702E3C">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2734" w:type="pct"/>
          </w:tcPr>
          <w:p w:rsidR="00702E3C" w:rsidRDefault="00702E3C">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 xml:space="preserve">Prometna povezanost </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Državne, županijske i lokalne ceste</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D109, ŽC6059, ŽC6060, ŽC6271</w:t>
            </w:r>
            <w:r>
              <w:rPr>
                <w:rStyle w:val="Referencafusnote"/>
                <w:rFonts w:ascii="Times New Roman" w:hAnsi="Times New Roman"/>
              </w:rPr>
              <w:footnoteReference w:id="3"/>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Brodske linije</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Brod, katamaran, trajekt</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GV Line, TP Line, Jadrolinija. </w:t>
            </w:r>
          </w:p>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Prometna povezanost: </w:t>
            </w:r>
          </w:p>
          <w:p w:rsidR="00702E3C" w:rsidRDefault="004B1C83">
            <w:pPr>
              <w:pStyle w:val="DecimalAligned"/>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Zadar – Sali – Zaglav (brod&amp;katamaran)</w:t>
            </w:r>
          </w:p>
          <w:p w:rsidR="00702E3C" w:rsidRDefault="004B1C83">
            <w:pPr>
              <w:pStyle w:val="DecimalAligned"/>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Zadar – Rivanj - Sestrunj – Brbinj – Zverinac – Božava (katamaran)</w:t>
            </w:r>
          </w:p>
          <w:p w:rsidR="00702E3C" w:rsidRDefault="004B1C83">
            <w:pPr>
              <w:pStyle w:val="DecimalAligned"/>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Zadar (Gaženica) – Brbinj (trajekt)</w:t>
            </w:r>
          </w:p>
          <w:p w:rsidR="00702E3C" w:rsidRDefault="004B1C83">
            <w:pPr>
              <w:pStyle w:val="DecimalAligned"/>
              <w:numPr>
                <w:ilvl w:val="0"/>
                <w:numId w:val="7"/>
              </w:num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Zadar (Gaženica) – Rivanj – Sestrunj – Zverinac – Molat – Zapuntel – Ist (trajekt)</w:t>
            </w:r>
          </w:p>
          <w:p w:rsidR="00702E3C" w:rsidRDefault="00702E3C">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Zračna udaljenost od Zadra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15 km do Gaženice</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Dugi otok udaljen je oko 350 km od Zagreba (cestovno i trajektno), dok je najbliži grad Zadar, povezan redovnim trajektnim i katamaranskim linijama u trajanju od oko 1,5 sat. Glavna emitivna tržišta – Njemačka, Austrija i Slovenija – nalaze se na udaljenosti od 300 do 700 km, što omogućuje dolazak osobnim vozilima i zračnim putem preko zadarske zračne luke.</w:t>
            </w:r>
            <w:r>
              <w:rPr>
                <w:rStyle w:val="Referencafusnote"/>
                <w:rFonts w:ascii="Times New Roman" w:hAnsi="Times New Roman"/>
              </w:rPr>
              <w:footnoteReference w:id="4"/>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Prometna infrastruktura</w:t>
            </w:r>
            <w:r>
              <w:rPr>
                <w:rStyle w:val="Referencafusnote"/>
                <w:rFonts w:ascii="Times New Roman" w:hAnsi="Times New Roman" w:cs="Times New Roman"/>
              </w:rPr>
              <w:footnoteReference w:id="5"/>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Državne, županijske, lokalne ceste</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Prostorni plan Općine Sali čl.17., čl.131.</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Komunalna infrastruktura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Neravnomjerno razvijena </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Prostorni plan Općine Sali, vodovodna mreža povezuje 4 naselja: Sali – Zaglav – Žman – Luka. </w:t>
            </w:r>
          </w:p>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Kanalizacija i otpadne vode također. Dok su ostala naselja uglavnom oslonjena na dostavu vode (vodosprema) i upojne jame. </w:t>
            </w:r>
          </w:p>
          <w:p w:rsidR="00702E3C" w:rsidRDefault="00702E3C">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lastRenderedPageBreak/>
              <w:t>Turistička infrastruktura</w:t>
            </w:r>
          </w:p>
        </w:tc>
        <w:tc>
          <w:tcPr>
            <w:tcW w:w="1095"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T1, T2, T3</w:t>
            </w:r>
          </w:p>
        </w:tc>
        <w:tc>
          <w:tcPr>
            <w:tcW w:w="2734" w:type="pct"/>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Turistička infrastruktura Općine Sali razvija se unutar definiranih zona ugostiteljsko-turističke namjene (T1 – hoteli, T2 – turistička naselja, T3 – kampovi), od kojih su najznačajnije: Božava, Sali, Zaglav, Luka i Veli Rat. Prema prostornom planu, ukupna planirana površina turističkih zona iznosi više od 130 ha, pri čemu se posebna pažnja pridaje očuvanju krajobraza i usklađenosti gradnje s prirodnim ambijentom otoka. Uz postojeće kapacitete u privatnom smještaju, predviđen je razvoj manjih hotela, tematskih kampova i robinzonskih kapaciteta, osobito na rubnim dijelovima naselja i u blizini prirodnih atrakcija (npr. uvala Dumboka, Strižna, Mir).</w:t>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rPr>
              <w:t>Geografska obilježja (reljef, planine, rijeke i dr.)</w:t>
            </w:r>
          </w:p>
        </w:tc>
        <w:tc>
          <w:tcPr>
            <w:tcW w:w="3829" w:type="pct"/>
            <w:gridSpan w:val="2"/>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Dugi otok, najveći otok zadarskog arhipelaga s površinom od 114,44 km² i duljinom od oko 45 km, smješten je u srednjem Jadranu zapadno od Zadra. Otok je razveden i reljefno raznolik, s visokim klifovima na zapadu, blagim padinama na istoku i brojnim prirodnim vrijednostima poput Parka prirode Telašćica, jezera Mir i geoloških rezervata, a naselja su većinom smještena uz zaštićenu unutrašnju obalu.</w:t>
            </w:r>
            <w:r>
              <w:rPr>
                <w:rStyle w:val="Referencafusnote"/>
                <w:rFonts w:ascii="Times New Roman" w:hAnsi="Times New Roman"/>
              </w:rPr>
              <w:footnoteReference w:id="6"/>
            </w:r>
          </w:p>
        </w:tc>
      </w:tr>
      <w:tr w:rsidR="00702E3C" w:rsidTr="00702E3C">
        <w:trPr>
          <w:trHeight w:val="512"/>
          <w:jc w:val="center"/>
        </w:trPr>
        <w:tc>
          <w:tcPr>
            <w:cnfStyle w:val="001000000000" w:firstRow="0" w:lastRow="0" w:firstColumn="1" w:lastColumn="0" w:oddVBand="0" w:evenVBand="0" w:oddHBand="0" w:evenHBand="0" w:firstRowFirstColumn="0" w:firstRowLastColumn="0" w:lastRowFirstColumn="0" w:lastRowLastColumn="0"/>
            <w:tcW w:w="1171" w:type="pct"/>
            <w:tcBorders>
              <w:top w:val="double" w:sz="4" w:space="0" w:color="BFE373" w:themeColor="accent1" w:themeTint="99"/>
            </w:tcBorders>
            <w:shd w:val="clear" w:color="auto" w:fill="EAE7DB" w:themeFill="accent6" w:themeFillTint="33"/>
            <w:noWrap/>
          </w:tcPr>
          <w:p w:rsidR="00702E3C" w:rsidRDefault="004B1C83">
            <w:pPr>
              <w:spacing w:after="0" w:line="240" w:lineRule="auto"/>
              <w:rPr>
                <w:rFonts w:ascii="Times New Roman" w:hAnsi="Times New Roman" w:cs="Times New Roman"/>
                <w:b w:val="0"/>
                <w:bCs w:val="0"/>
              </w:rPr>
            </w:pPr>
            <w:r>
              <w:rPr>
                <w:rFonts w:ascii="Times New Roman" w:hAnsi="Times New Roman" w:cs="Times New Roman"/>
                <w:b w:val="0"/>
                <w:bCs w:val="0"/>
              </w:rPr>
              <w:t xml:space="preserve">Klimatska obilježja (prosječni broj sunčanih </w:t>
            </w:r>
          </w:p>
          <w:p w:rsidR="00702E3C" w:rsidRDefault="004B1C83">
            <w:pPr>
              <w:spacing w:after="0" w:line="240" w:lineRule="auto"/>
              <w:rPr>
                <w:rFonts w:ascii="Times New Roman" w:hAnsi="Times New Roman" w:cs="Times New Roman"/>
                <w:b w:val="0"/>
                <w:bCs w:val="0"/>
              </w:rPr>
            </w:pPr>
            <w:r>
              <w:rPr>
                <w:rFonts w:ascii="Times New Roman" w:hAnsi="Times New Roman" w:cs="Times New Roman"/>
                <w:b w:val="0"/>
                <w:bCs w:val="0"/>
              </w:rPr>
              <w:t xml:space="preserve">dana, količina padalina, prosječne sezonske </w:t>
            </w:r>
          </w:p>
          <w:p w:rsidR="00702E3C" w:rsidRDefault="004B1C83">
            <w:pPr>
              <w:spacing w:after="0" w:line="240" w:lineRule="auto"/>
              <w:rPr>
                <w:rFonts w:ascii="Times New Roman" w:hAnsi="Times New Roman" w:cs="Times New Roman"/>
                <w:b w:val="0"/>
                <w:bCs w:val="0"/>
              </w:rPr>
            </w:pPr>
            <w:r>
              <w:rPr>
                <w:rFonts w:ascii="Times New Roman" w:hAnsi="Times New Roman" w:cs="Times New Roman"/>
                <w:b w:val="0"/>
                <w:bCs w:val="0"/>
              </w:rPr>
              <w:t>temperature)</w:t>
            </w:r>
          </w:p>
        </w:tc>
        <w:tc>
          <w:tcPr>
            <w:tcW w:w="3829" w:type="pct"/>
            <w:gridSpan w:val="2"/>
            <w:tcBorders>
              <w:top w:val="double" w:sz="4" w:space="0" w:color="BFE373" w:themeColor="accent1" w:themeTint="99"/>
            </w:tcBorders>
          </w:tcPr>
          <w:p w:rsidR="00702E3C" w:rsidRDefault="004B1C83">
            <w:pPr>
              <w:pStyle w:val="DecimalAligned"/>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Dugi otok ima tipičnu mediteransku klimu s toplim, suhim ljetima i blagim, vlažnim zimama. Godišnje bilježi oko 2.600 sunčanih sati, što ga svrstava među najsunčanija područja u Hrvatskoj. Prosječna ljetna temperatura zraka iznosi oko 25 °C, dok je zimi oko 8–10 °C. Godišnja količina oborina kreće se između 800 i 1.000 mm, s najviše kiše u jesenskim mjesecima, osobito u studenom i prosincu.</w:t>
            </w:r>
            <w:r>
              <w:rPr>
                <w:rStyle w:val="Referencafusnote"/>
                <w:rFonts w:ascii="Times New Roman" w:hAnsi="Times New Roman"/>
              </w:rPr>
              <w:footnoteReference w:id="7"/>
            </w:r>
          </w:p>
        </w:tc>
      </w:tr>
      <w:bookmarkEnd w:id="6"/>
    </w:tbl>
    <w:p w:rsidR="00702E3C" w:rsidRDefault="00702E3C">
      <w:pPr>
        <w:spacing w:line="360" w:lineRule="auto"/>
        <w:jc w:val="both"/>
        <w:rPr>
          <w:rFonts w:ascii="Times New Roman" w:hAnsi="Times New Roman" w:cs="Times New Roman"/>
          <w:b/>
          <w:bCs/>
          <w:sz w:val="24"/>
          <w:szCs w:val="24"/>
        </w:rPr>
      </w:pP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Tablica 2. Profil destinacije</w:t>
      </w:r>
    </w:p>
    <w:p w:rsidR="00702E3C" w:rsidRDefault="00702E3C">
      <w:pPr>
        <w:spacing w:line="360" w:lineRule="auto"/>
        <w:jc w:val="center"/>
        <w:rPr>
          <w:rFonts w:ascii="Times New Roman" w:hAnsi="Times New Roman" w:cs="Times New Roman"/>
          <w:i/>
          <w:iCs/>
          <w:sz w:val="24"/>
          <w:szCs w:val="24"/>
        </w:rPr>
      </w:pPr>
    </w:p>
    <w:p w:rsidR="00702E3C" w:rsidRDefault="00702E3C">
      <w:pPr>
        <w:spacing w:line="360" w:lineRule="auto"/>
        <w:jc w:val="center"/>
        <w:rPr>
          <w:rFonts w:ascii="Times New Roman" w:hAnsi="Times New Roman" w:cs="Times New Roman"/>
          <w:i/>
          <w:iCs/>
          <w:sz w:val="24"/>
          <w:szCs w:val="24"/>
        </w:rPr>
      </w:pPr>
    </w:p>
    <w:p w:rsidR="00702E3C" w:rsidRDefault="00702E3C">
      <w:pPr>
        <w:spacing w:line="360" w:lineRule="auto"/>
        <w:jc w:val="center"/>
        <w:rPr>
          <w:rFonts w:ascii="Times New Roman" w:hAnsi="Times New Roman" w:cs="Times New Roman"/>
          <w:i/>
          <w:iCs/>
          <w:sz w:val="24"/>
          <w:szCs w:val="24"/>
        </w:rPr>
      </w:pPr>
    </w:p>
    <w:p w:rsidR="00702E3C" w:rsidRDefault="00702E3C">
      <w:pPr>
        <w:spacing w:line="360" w:lineRule="auto"/>
        <w:jc w:val="center"/>
        <w:rPr>
          <w:rFonts w:ascii="Times New Roman" w:hAnsi="Times New Roman" w:cs="Times New Roman"/>
          <w:i/>
          <w:iCs/>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4B1C83">
      <w:pPr>
        <w:pStyle w:val="Naslov1"/>
        <w:numPr>
          <w:ilvl w:val="0"/>
          <w:numId w:val="1"/>
        </w:numPr>
        <w:rPr>
          <w:rFonts w:ascii="Times New Roman" w:hAnsi="Times New Roman" w:cs="Times New Roman"/>
          <w:b/>
          <w:bCs/>
          <w:color w:val="54A021" w:themeColor="accent2"/>
        </w:rPr>
      </w:pPr>
      <w:bookmarkStart w:id="7" w:name="_Toc217040638"/>
      <w:r>
        <w:rPr>
          <w:rFonts w:ascii="Times New Roman" w:hAnsi="Times New Roman" w:cs="Times New Roman"/>
          <w:b/>
          <w:bCs/>
          <w:color w:val="54A021" w:themeColor="accent2"/>
        </w:rPr>
        <w:t>PRIHVATNI KAPACITET DESTINACIJE</w:t>
      </w:r>
      <w:bookmarkEnd w:id="7"/>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S obzirom na to da Turistička zajednica Dugi otok pripada II. kategoriji indeksa turističke razvijenosti (ITR = 27,97 za 2024.), obvezna je izraditi izračun prihvatnog kapaciteta sukladno Pravilniku o metodologiji izračuna prihvatnog kapaciteta (NN 112/24).</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Analiza pokazatelja iz razdoblja 2017. – 2024. godine ukazuje na kontinuirano visoke vrijednosti u segmentima: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broja postelja po stanovniku (3,18),</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broja turista po stanovniku (3,22),</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broja noćenja po stanovniku (3,04),</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ukupnog broja postelja (3,07).</w:t>
      </w: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0</wp:posOffset>
            </wp:positionV>
            <wp:extent cx="5760720" cy="3604895"/>
            <wp:effectExtent l="0" t="0" r="0" b="0"/>
            <wp:wrapTopAndBottom/>
            <wp:docPr id="2040870963" name="Slika 1" descr="Slika na kojoj se prikazuje tekst, snimka zaslona, Font,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70963" name="Slika 1" descr="Slika na kojoj se prikazuje tekst, snimka zaslona, Font, broj&#10;&#10;Sadržaj generiran umjetnom inteligencijom može biti netoča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604895"/>
                    </a:xfrm>
                    <a:prstGeom prst="rect">
                      <a:avLst/>
                    </a:prstGeom>
                  </pic:spPr>
                </pic:pic>
              </a:graphicData>
            </a:graphic>
          </wp:anchor>
        </w:drawing>
      </w:r>
      <w:r>
        <w:rPr>
          <w:rFonts w:ascii="Times New Roman" w:hAnsi="Times New Roman" w:cs="Times New Roman"/>
          <w:i/>
          <w:iCs/>
          <w:sz w:val="24"/>
          <w:szCs w:val="24"/>
        </w:rPr>
        <w:t xml:space="preserve">Slika 1. Prikaz pokazatelja smještajnog kapaciteta i broja posjetitelja </w:t>
      </w: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(Izvor: Institut za turizam)</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Istovremeno, udio zaposlenih u ugostiteljstvu i turizmu (UGT djelatnosti) i dalje je relativno nizak (2,22), što upućuje na potencijalni disbalans između razine turističke aktivnosti i uključenosti lokalnog stanovništva u turistički sektor.</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Poseban izazov predstavlja sezonalnost turizma i prostorna koncentracija posjetitelja u određenim dijelovima otoka, što dodatno opterećuje prirodne resurse, infrastrukturu i lokalnu zajednicu. U tom smislu, izračun prihvatnih kapaciteta postaje temeljni alat za upravljanje opterećenjem destinacije.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Izračun prihvatnog kapaciteta za područje Dugog otoka, Zverinca i Lavdare bit će izrađen sukladno metodologiji propisanoj pravilnikom, uključujući obvezne i dodatne pokazatelje održivosti, te prikazan u zasebnom dokumentu/prilogu Planu upravljanja.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Rezultati izračuna koristit će se za planiranje optimalnog broja, vrste i kapaciteta smještajnih i ugostiteljskih objekata, za upravljanje turističkim tokovima, te za druge mjere usmjerene očuvanju okoliša i kvalitete života lokalne zajednice.</w:t>
      </w: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6B12FC" w:rsidRDefault="006B12F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4B1C83">
      <w:pPr>
        <w:pStyle w:val="Naslov1"/>
        <w:numPr>
          <w:ilvl w:val="0"/>
          <w:numId w:val="1"/>
        </w:numPr>
        <w:rPr>
          <w:rFonts w:ascii="Times New Roman" w:hAnsi="Times New Roman" w:cs="Times New Roman"/>
          <w:b/>
          <w:bCs/>
          <w:color w:val="54A021" w:themeColor="accent2"/>
        </w:rPr>
      </w:pPr>
      <w:bookmarkStart w:id="8" w:name="_Toc217040639"/>
      <w:r>
        <w:rPr>
          <w:rFonts w:ascii="Times New Roman" w:hAnsi="Times New Roman" w:cs="Times New Roman"/>
          <w:b/>
          <w:bCs/>
          <w:color w:val="54A021" w:themeColor="accent2"/>
        </w:rPr>
        <w:t>ANALIZA STANJA DESTINACIJE</w:t>
      </w:r>
      <w:bookmarkEnd w:id="8"/>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Turizam na Dugom otoku karakterizira izražena sezonalnost, s visokom koncentracijom dolazaka u srpnju i kolovozu, te prostorna neravnomjernost u razvoju između južnog i sjevernog dijela otoka. Posebno opterećenje bilježe područja unutar zaštićenih prirodnih cjelina – Park prirode Telašćica i Sjeverozapadnog krajobraza – koja zahtijevaju pažljivo upravljanje posjetiteljskim tokovima.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Smještajni kapaciteti najvećim su dijelom u privatnim kućanstvima, uz prisutnost manjih obiteljskih hotela i kampova. Infrastrukturna opremljenost varira po naseljima, što utječe na dostupnost usluga i razinu zadovoljstva posjetitelja.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 nastavku će biti prikazani osnovni i specifični pokazatelji održivosti (okolišni, društveni, gospodarski i prostorni), u skladu s Pravilnikom o pokazateljima za praćenje razvoja i održivosti turizma (NN 112/24). Također će biti identificirani ključni izazovi u razvoju destinacije, uključujući pitanje prometne povezanosti, gospodarenja otpadom, pritiska na resurse te stanovanja lokalnog stanovništva.</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27"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9" w:name="_Toc217040640"/>
      <w:r>
        <w:rPr>
          <w:rFonts w:ascii="Times New Roman" w:hAnsi="Times New Roman" w:cs="Times New Roman"/>
          <w:color w:val="54A021" w:themeColor="accent2"/>
        </w:rPr>
        <w:t>Resursna osnova</w:t>
      </w:r>
      <w:bookmarkEnd w:id="9"/>
    </w:p>
    <w:p w:rsidR="00702E3C" w:rsidRDefault="00702E3C">
      <w:pPr>
        <w:rPr>
          <w:rFonts w:ascii="Times New Roman" w:hAnsi="Times New Roman" w:cs="Times New Roman"/>
        </w:rPr>
      </w:pP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Destinacija Dugi otok raspolaže iznimno vrijednom resursnom osnovom, utemeljenom na kombinaciji očuvanog prirodnog okoliša, kulturno-povijesne baštine i autentičnog otočnog identiteta. Ovi elementi nisu uvijek aktivno uključeni u turističku ponudu, no predstavljaju ključnu osnovu za budući razvoj održivih, tematski profiliranih turističkih proizvoda.</w:t>
      </w:r>
    </w:p>
    <w:p w:rsidR="00702E3C" w:rsidRDefault="004B1C83">
      <w:pPr>
        <w:pStyle w:val="Naslov3"/>
        <w:numPr>
          <w:ilvl w:val="2"/>
          <w:numId w:val="1"/>
        </w:numPr>
        <w:rPr>
          <w:rFonts w:ascii="Times New Roman" w:hAnsi="Times New Roman" w:cs="Times New Roman"/>
          <w:color w:val="54A021" w:themeColor="accent2"/>
        </w:rPr>
      </w:pPr>
      <w:bookmarkStart w:id="10" w:name="_Toc217040641"/>
      <w:r>
        <w:rPr>
          <w:rFonts w:ascii="Times New Roman" w:hAnsi="Times New Roman" w:cs="Times New Roman"/>
          <w:color w:val="54A021" w:themeColor="accent2"/>
        </w:rPr>
        <w:t>Geografska obilježja</w:t>
      </w:r>
      <w:bookmarkEnd w:id="10"/>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Dugi otok je najdulji otok zadarskog arhipelaga s duljinom od 44,5 km i prosječnom širinom između 1 i 4,8 km. Ukupna površina otoka iznosi oko 114 km², a dužina razvedene obale preko 110 km. Smješten je uz sjeverozapadni rub Kornatskog arhipelaga i predstavlja prirodnu barijeru između otvorenog mora i zadarskog priobalja. Geološki je građen uglavnom od vapnenaca i dolomita, s izraženim krškim oblicima reljefa, klifovima (najviši na Jadranu kod </w:t>
      </w:r>
      <w:r>
        <w:rPr>
          <w:rFonts w:ascii="Times New Roman" w:hAnsi="Times New Roman" w:cs="Times New Roman"/>
          <w:sz w:val="24"/>
          <w:szCs w:val="24"/>
        </w:rPr>
        <w:lastRenderedPageBreak/>
        <w:t>Telašćice – do 161 m), uvalama i ponikvama. Najviši vrh otoka je Vela Straža (338 m). Zbog geografskog položaja i prirodnih osobina, otok ima stratešku važnost za razvoj održivog otočnog i nautičkog turizma.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margin">
              <wp:posOffset>0</wp:posOffset>
            </wp:positionH>
            <wp:positionV relativeFrom="page">
              <wp:posOffset>1865630</wp:posOffset>
            </wp:positionV>
            <wp:extent cx="5755640" cy="5548630"/>
            <wp:effectExtent l="0" t="0" r="0"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5640" cy="5548630"/>
                    </a:xfrm>
                    <a:prstGeom prst="rect">
                      <a:avLst/>
                    </a:prstGeom>
                    <a:noFill/>
                    <a:ln>
                      <a:noFill/>
                    </a:ln>
                  </pic:spPr>
                </pic:pic>
              </a:graphicData>
            </a:graphic>
          </wp:anchor>
        </w:drawing>
      </w:r>
    </w:p>
    <w:p w:rsidR="00702E3C" w:rsidRDefault="00702E3C">
      <w:pPr>
        <w:spacing w:line="360" w:lineRule="auto"/>
        <w:jc w:val="center"/>
        <w:rPr>
          <w:rFonts w:ascii="Times New Roman" w:hAnsi="Times New Roman" w:cs="Times New Roman"/>
          <w:i/>
          <w:iCs/>
          <w:sz w:val="24"/>
          <w:szCs w:val="24"/>
        </w:rPr>
      </w:pP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Tablica 2 - Statistički pregled ukupne geografske površine Općine Sali i popis otoka</w:t>
      </w: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 (Izvor: registar-otoka.gov.hr.)</w:t>
      </w: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4B1C83">
      <w:pPr>
        <w:pStyle w:val="Naslov3"/>
        <w:numPr>
          <w:ilvl w:val="2"/>
          <w:numId w:val="1"/>
        </w:numPr>
        <w:rPr>
          <w:rFonts w:ascii="Times New Roman" w:hAnsi="Times New Roman" w:cs="Times New Roman"/>
          <w:color w:val="54A021" w:themeColor="accent2"/>
        </w:rPr>
      </w:pPr>
      <w:bookmarkStart w:id="11" w:name="_Toc217040642"/>
      <w:r>
        <w:rPr>
          <w:rFonts w:ascii="Times New Roman" w:hAnsi="Times New Roman" w:cs="Times New Roman"/>
          <w:color w:val="54A021" w:themeColor="accent2"/>
        </w:rPr>
        <w:lastRenderedPageBreak/>
        <w:t>Prirodna baština</w:t>
      </w:r>
      <w:bookmarkEnd w:id="11"/>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Prirodna baština Dugog otoka i pripadajućih otoka Zverinca i Lavdare izuzetno je vrijedna i raznolika, a obuhvaća posebnosti reljefa, geomorfoloških oblika, biološke raznolikosti te morskih i kopnenih ekosustava koji su prepoznati i zaštićeni na nacionalnoj i međunarodnoj razini.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Najistaknutiji prirodni resurs Dugog otoka je Park prirode Telašćica, koji obuhvaća spektakularni zaljev Telašćicu s trima fenomenima: izuzetno duboka uvala, strmci koji se vertikalno uzdižu i više od 160 m nad morem i jezero Mir – slano jezero koje nastaje spajanjem podzemnih i nadzemnih voda. Strmci (stijene) predstavljaju jedinstven geomorfološki fenomen, a jezero Mir vrijedan je primjer slanog jezera s ograničenom biološkom raznolikošću, ali velikom znanstvenom vrijednošću.</w:t>
      </w:r>
      <w:r>
        <w:rPr>
          <w:rStyle w:val="Referencafusnote"/>
          <w:rFonts w:ascii="Times New Roman" w:hAnsi="Times New Roman" w:cs="Times New Roman"/>
          <w:sz w:val="24"/>
          <w:szCs w:val="24"/>
        </w:rPr>
        <w:footnoteReference w:id="8"/>
      </w:r>
      <w:r>
        <w:rPr>
          <w:rFonts w:ascii="Times New Roman" w:hAnsi="Times New Roman" w:cs="Times New Roman"/>
          <w:sz w:val="24"/>
          <w:szCs w:val="24"/>
        </w:rPr>
        <w:t xml:space="preserve"> U blizini je i botanički rezervat Maslinik Saljsko polje – ostatak tradicionalnog krajolika maslinika s izuzetno starim stablima.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Zadarski arhipelag uključujući Dugi otok, Lavdaru i Zverinac dio je ekološke mreže Natura 2000 (područja očuvanja značajna za ptice – POP i značajna za vrste i staništa – POVS). Plan upravljanja područjem ekološke mreže "Natura Jadera" (PU6128) ističe da su ta područja ključna za očuvanje brojnih ugroženih vrsta i staništa. Osobitu vrijednost predstavljaju priobalna staništa, podmorski travnjaci (posebno vrste </w:t>
      </w:r>
      <w:r>
        <w:rPr>
          <w:rFonts w:ascii="Times New Roman" w:hAnsi="Times New Roman" w:cs="Times New Roman"/>
          <w:i/>
          <w:iCs/>
          <w:sz w:val="24"/>
          <w:szCs w:val="24"/>
        </w:rPr>
        <w:t>Posidonia oceanica</w:t>
      </w:r>
      <w:r>
        <w:rPr>
          <w:rFonts w:ascii="Times New Roman" w:hAnsi="Times New Roman" w:cs="Times New Roman"/>
          <w:sz w:val="24"/>
          <w:szCs w:val="24"/>
        </w:rPr>
        <w:t>), stijene s pukotinama u kojima obitavaju endemske vrste, te krške lokve koje su važne za vodozemce i insekte.</w:t>
      </w:r>
      <w:r>
        <w:rPr>
          <w:rStyle w:val="Referencafusnote"/>
          <w:rFonts w:ascii="Times New Roman" w:hAnsi="Times New Roman" w:cs="Times New Roman"/>
          <w:sz w:val="24"/>
          <w:szCs w:val="24"/>
        </w:rPr>
        <w:footnoteReference w:id="9"/>
      </w:r>
      <w:r>
        <w:rPr>
          <w:rFonts w:ascii="Times New Roman" w:hAnsi="Times New Roman" w:cs="Times New Roman"/>
          <w:sz w:val="24"/>
          <w:szCs w:val="24"/>
        </w:rPr>
        <w:t xml:space="preserve"> U priobalju Dugog otoka gnijezde se ptice poput morskog vranca (</w:t>
      </w:r>
      <w:r>
        <w:rPr>
          <w:rFonts w:ascii="Times New Roman" w:hAnsi="Times New Roman" w:cs="Times New Roman"/>
          <w:i/>
          <w:iCs/>
          <w:sz w:val="24"/>
          <w:szCs w:val="24"/>
        </w:rPr>
        <w:t>Phalacrocorax aristotelis</w:t>
      </w:r>
      <w:r>
        <w:rPr>
          <w:rFonts w:ascii="Times New Roman" w:hAnsi="Times New Roman" w:cs="Times New Roman"/>
          <w:sz w:val="24"/>
          <w:szCs w:val="24"/>
        </w:rPr>
        <w:t>) i gregule (</w:t>
      </w:r>
      <w:r>
        <w:rPr>
          <w:rFonts w:ascii="Times New Roman" w:hAnsi="Times New Roman" w:cs="Times New Roman"/>
          <w:i/>
          <w:iCs/>
          <w:sz w:val="24"/>
          <w:szCs w:val="24"/>
        </w:rPr>
        <w:t>Calonectris diomedea</w:t>
      </w:r>
      <w:r>
        <w:rPr>
          <w:rFonts w:ascii="Times New Roman" w:hAnsi="Times New Roman" w:cs="Times New Roman"/>
          <w:sz w:val="24"/>
          <w:szCs w:val="24"/>
        </w:rPr>
        <w:t>), dok su podmorja bogata vrstama riba i mekušaca.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w:t>
      </w:r>
      <w:r>
        <w:rPr>
          <w:rFonts w:ascii="Times New Roman" w:hAnsi="Times New Roman" w:cs="Times New Roman"/>
          <w:i/>
          <w:iCs/>
          <w:sz w:val="24"/>
          <w:szCs w:val="24"/>
        </w:rPr>
        <w:t>Planu održivog turizma Parka prirode Telašćica</w:t>
      </w:r>
      <w:r>
        <w:rPr>
          <w:rFonts w:ascii="Times New Roman" w:hAnsi="Times New Roman" w:cs="Times New Roman"/>
          <w:sz w:val="24"/>
          <w:szCs w:val="24"/>
        </w:rPr>
        <w:t>, identificirani su izazovi očuvanja prirodne baštine zbog povećanog broja posjetitelja, sidrenja izvan dozvoljenih zona, plovidbe izvan propisanih koridora te apartmanizacije koja utječe na staništa i krajobraze. Dugi otok obiluje i speleološkim objektima (57 do sada poznatih), od kojih su mnogi teško dostupni, ali imaju veliku biološku i geomorfološku vrijednost.</w:t>
      </w:r>
      <w:r>
        <w:rPr>
          <w:rStyle w:val="Referencafusnote"/>
          <w:rFonts w:ascii="Times New Roman" w:hAnsi="Times New Roman" w:cs="Times New Roman"/>
          <w:sz w:val="24"/>
          <w:szCs w:val="24"/>
        </w:rPr>
        <w:footnoteReference w:id="10"/>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Vegetacija Dugog otoka pretežno je sredozemna – od makije i kamenjara do sekundarnih šuma alepskog bora. Na središnjem i zapadnom dijelu otoka prisutne su i autohtone vrste poput crnike, dok se na napuštenim poljoprivrednim površinama razvijaju sekundarna vegetacija i </w:t>
      </w:r>
      <w:r>
        <w:rPr>
          <w:rFonts w:ascii="Times New Roman" w:hAnsi="Times New Roman" w:cs="Times New Roman"/>
          <w:sz w:val="24"/>
          <w:szCs w:val="24"/>
        </w:rPr>
        <w:lastRenderedPageBreak/>
        <w:t>travnjaci. Polja poput Arnjevog, Stivanjeg i Dugo polja odlikuju se plodnim crvenicama, a u nekima se pojavljuju sezonska močvarna staništa.</w:t>
      </w:r>
      <w:r>
        <w:rPr>
          <w:rStyle w:val="Referencafusnote"/>
          <w:rFonts w:ascii="Times New Roman" w:hAnsi="Times New Roman" w:cs="Times New Roman"/>
          <w:sz w:val="24"/>
          <w:szCs w:val="24"/>
        </w:rPr>
        <w:footnoteReference w:id="11"/>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Uvala Čuška Dumboka primjer je potopljene krške doline, dok brojni otočići u akvatoriju (Krknata, Katina, Mežanj i dr.) čine dio vrijednog pejzažnog i ekološkog mozaika. Lavdara i Zverinac, iako manji, također posjeduju važne krajobrazne i ekološke osobine – Lavdara ima vrijedne šumske komplekse, a Zverinac uz kulturno-povijesnu baštinu i očuvane tradicionalne poljoprivredne krajolike.</w:t>
      </w:r>
      <w:r>
        <w:rPr>
          <w:rStyle w:val="Referencafusnote"/>
          <w:rFonts w:ascii="Times New Roman" w:hAnsi="Times New Roman" w:cs="Times New Roman"/>
          <w:sz w:val="24"/>
          <w:szCs w:val="24"/>
        </w:rPr>
        <w:footnoteReference w:id="12"/>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Posebno mjesto u prirodnoj baštini Dugog otoka zauzima uvala Sakarun, smještena na sjeverozapadnoj obali otoka, u blizini mjesta Soline i Veli Rat (Slika 2). Ova prostrana pješčana uvala, duga gotovo 300 metara, ističe se bijelim pijeskom, tirkiznim morem te borovom šumom koja je okružuje i pruža prirodnu sjenu. Zbog svog izuzetnog krajobraza, čistoće mora i netaknute prirode, uvala Sakarun postala je simbol Dugog otoka u turističkoj promociji, a u više je navrata uvrštena među najljepše plaže Europe.</w:t>
      </w:r>
      <w:r>
        <w:rPr>
          <w:rStyle w:val="Referencafusnote"/>
          <w:rFonts w:ascii="Times New Roman" w:hAnsi="Times New Roman" w:cs="Times New Roman"/>
          <w:sz w:val="24"/>
          <w:szCs w:val="24"/>
        </w:rPr>
        <w:footnoteReference w:id="13"/>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Uvala se nalazi unutar područja ekološke mreže Natura 2000, zbog prisutnosti osjetljivih staništa, uključujući podmorske livade posidonije (Posidonia oceanica) i obalna pješčana staništa koja su od iznimne važnosti za očuvanje bioraznolikosti. Upravo zbog prirodne osjetljivosti, zona Sakaruna podložna je posebnim režimima zaštite, uključujući ograničenja za sidrenje i plovidbu, što je definirano lokalnim odlukama i upravljačkim planovima.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Sakarun je istodobno i primjer konflikta između zaštite okoliša i turističke potražnje, jer visoka posjećenost tijekom ljetne sezone uzrokuje pritisak na ekosustav. Stoga se unutar </w:t>
      </w:r>
      <w:r>
        <w:rPr>
          <w:rFonts w:ascii="Times New Roman" w:hAnsi="Times New Roman" w:cs="Times New Roman"/>
          <w:i/>
          <w:iCs/>
          <w:sz w:val="24"/>
          <w:szCs w:val="24"/>
        </w:rPr>
        <w:t>Plana upravljanja zaštićenim područjima i područjima ekološke mreže Dugog otoka (PU 6128) 2023. – 2032.</w:t>
      </w:r>
      <w:r>
        <w:rPr>
          <w:rFonts w:ascii="Times New Roman" w:hAnsi="Times New Roman" w:cs="Times New Roman"/>
          <w:sz w:val="24"/>
          <w:szCs w:val="24"/>
        </w:rPr>
        <w:t>i razvojnih strategija Dugog otoka predviđaju mjere za očuvanje uvale – uključujući sustave nadzora, edukaciju posjetitelja i održivo upravljanje prometom i infrastrukturom.</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Prirodna baština Dugog otoka, Zverinca i Lavdare ne samo da čini ključni temelj identiteta prostora, već pruža snažan potencijal za razvoj održivog i selektivnog turizma temeljenog na prirodnim vrijednostima, edukaciji i interpretaciji baštine.</w:t>
      </w:r>
    </w:p>
    <w:p w:rsidR="00702E3C" w:rsidRDefault="004B1C83">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Značajan potencijal za budući održivi razvoj leži u valorizaciji ovih prirodnih resursa – kroz šetnice, poučne staze, promatračnice za ptice, organizirane ture u prirodi i interpretacijske centre. Održivo upravljanje ovim vrijednostima ključno je za očuvanje ekološke ravnoteže i podizanje atraktivnosti destinacije, što potvrđuje i niz strateških dokumenata poput </w:t>
      </w:r>
      <w:r>
        <w:rPr>
          <w:rFonts w:ascii="Times New Roman" w:hAnsi="Times New Roman" w:cs="Times New Roman"/>
          <w:i/>
          <w:iCs/>
          <w:sz w:val="24"/>
          <w:szCs w:val="24"/>
        </w:rPr>
        <w:t>Plana održivog turizma Parka prirode Telašćica i Dugog otoka</w:t>
      </w:r>
      <w:r>
        <w:rPr>
          <w:rFonts w:ascii="Times New Roman" w:hAnsi="Times New Roman" w:cs="Times New Roman"/>
          <w:sz w:val="24"/>
          <w:szCs w:val="24"/>
        </w:rPr>
        <w:t xml:space="preserve"> i </w:t>
      </w:r>
      <w:r>
        <w:rPr>
          <w:rFonts w:ascii="Times New Roman" w:hAnsi="Times New Roman" w:cs="Times New Roman"/>
          <w:i/>
          <w:iCs/>
          <w:sz w:val="24"/>
          <w:szCs w:val="24"/>
        </w:rPr>
        <w:t xml:space="preserve">Strategije razvoja turizma Zadarske županije do 2030. </w:t>
      </w:r>
    </w:p>
    <w:p w:rsidR="00702E3C" w:rsidRDefault="00702E3C">
      <w:pPr>
        <w:spacing w:line="360" w:lineRule="auto"/>
        <w:jc w:val="both"/>
        <w:rPr>
          <w:rFonts w:ascii="Times New Roman" w:hAnsi="Times New Roman" w:cs="Times New Roman"/>
          <w:i/>
          <w:iCs/>
          <w:sz w:val="24"/>
          <w:szCs w:val="24"/>
        </w:rPr>
      </w:pPr>
    </w:p>
    <w:p w:rsidR="00702E3C" w:rsidRDefault="00702E3C">
      <w:pPr>
        <w:spacing w:line="360" w:lineRule="auto"/>
        <w:jc w:val="both"/>
        <w:rPr>
          <w:rFonts w:ascii="Times New Roman" w:hAnsi="Times New Roman" w:cs="Times New Roman"/>
          <w:i/>
          <w:iCs/>
          <w:sz w:val="24"/>
          <w:szCs w:val="24"/>
        </w:rPr>
      </w:pP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5760720" cy="3838575"/>
            <wp:effectExtent l="0" t="0" r="0" b="9525"/>
            <wp:docPr id="340223988" name="Slika 5" descr="Slika na kojoj se prikazuje vanjski, priroda, obalne i oceanske formacije tla, obal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3988" name="Slika 5" descr="Slika na kojoj se prikazuje vanjski, priroda, obalne i oceanske formacije tla, obala&#10;&#10;Sadržaj generiran uz AI možda nije točan."/>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3838575"/>
                    </a:xfrm>
                    <a:prstGeom prst="rect">
                      <a:avLst/>
                    </a:prstGeom>
                  </pic:spPr>
                </pic:pic>
              </a:graphicData>
            </a:graphic>
          </wp:inline>
        </w:drawing>
      </w: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Slika 2. Uvala Sakarun (Izvor:TZ)</w:t>
      </w:r>
    </w:p>
    <w:p w:rsidR="00702E3C" w:rsidRDefault="00702E3C">
      <w:pPr>
        <w:spacing w:line="360" w:lineRule="auto"/>
        <w:jc w:val="center"/>
        <w:rPr>
          <w:rFonts w:ascii="Times New Roman" w:hAnsi="Times New Roman" w:cs="Times New Roman"/>
          <w:i/>
          <w:iCs/>
          <w:sz w:val="24"/>
          <w:szCs w:val="24"/>
        </w:rPr>
      </w:pPr>
    </w:p>
    <w:p w:rsidR="00702E3C" w:rsidRDefault="002D0BA4">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i1028" style="width:0;height:1.5pt" o:hralign="center" o:hrstd="t" o:hr="t" fillcolor="#a0a0a0" stroked="f"/>
        </w:pict>
      </w:r>
    </w:p>
    <w:p w:rsidR="00702E3C" w:rsidRDefault="00702E3C">
      <w:pPr>
        <w:spacing w:line="360" w:lineRule="auto"/>
        <w:jc w:val="center"/>
        <w:rPr>
          <w:rFonts w:ascii="Times New Roman" w:hAnsi="Times New Roman" w:cs="Times New Roman"/>
          <w:i/>
          <w:iCs/>
          <w:sz w:val="24"/>
          <w:szCs w:val="24"/>
        </w:rPr>
      </w:pPr>
    </w:p>
    <w:p w:rsidR="00702E3C" w:rsidRDefault="004B1C83">
      <w:pPr>
        <w:pStyle w:val="Naslov3"/>
        <w:numPr>
          <w:ilvl w:val="2"/>
          <w:numId w:val="1"/>
        </w:numPr>
        <w:rPr>
          <w:rFonts w:ascii="Times New Roman" w:hAnsi="Times New Roman" w:cs="Times New Roman"/>
          <w:color w:val="54A021" w:themeColor="accent2"/>
        </w:rPr>
      </w:pPr>
      <w:bookmarkStart w:id="12" w:name="_Toc217040643"/>
      <w:r>
        <w:rPr>
          <w:rFonts w:ascii="Times New Roman" w:hAnsi="Times New Roman" w:cs="Times New Roman"/>
          <w:color w:val="54A021" w:themeColor="accent2"/>
        </w:rPr>
        <w:lastRenderedPageBreak/>
        <w:t>Kulturna baština</w:t>
      </w:r>
      <w:bookmarkEnd w:id="12"/>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Kulturna baština Dugog otoka obuhvaća slojevite arheološke ostatke. </w:t>
      </w:r>
      <w:r>
        <w:rPr>
          <w:rFonts w:ascii="Times New Roman" w:hAnsi="Times New Roman" w:cs="Times New Roman"/>
          <w:b/>
          <w:bCs/>
          <w:sz w:val="24"/>
          <w:szCs w:val="24"/>
        </w:rPr>
        <w:t>Prapovijesni krajolik</w:t>
      </w:r>
      <w:r>
        <w:rPr>
          <w:rFonts w:ascii="Times New Roman" w:hAnsi="Times New Roman" w:cs="Times New Roman"/>
          <w:sz w:val="24"/>
          <w:szCs w:val="24"/>
        </w:rPr>
        <w:t xml:space="preserve"> Dugog otoka, Zverinca i Lavdare svjedoči o dugotrajnoj ljudskoj prisutnosti, od srednjeg paleolitika do željeznog doba. Najraniji tragovi ljudske aktivnosti pronađeni su na Velom Ratu, u vidu litičkog materijala (nazubljena oruđa, strugala) pripisanih kulturi musterijen (200.000–30.000 g. pr. Kr.), dok se na lokacijama poput Ravnice, Panjđerovice i uvala Darstalo i Ćune nalaze brojni kremenčići i jezgre. </w:t>
      </w:r>
      <w:r>
        <w:rPr>
          <w:rStyle w:val="Referencafusnote"/>
          <w:rFonts w:ascii="Times New Roman" w:hAnsi="Times New Roman" w:cs="Times New Roman"/>
          <w:sz w:val="24"/>
          <w:szCs w:val="24"/>
        </w:rPr>
        <w:footnoteReference w:id="14"/>
      </w:r>
      <w:r>
        <w:rPr>
          <w:rFonts w:ascii="Times New Roman" w:hAnsi="Times New Roman" w:cs="Times New Roman"/>
          <w:sz w:val="24"/>
          <w:szCs w:val="24"/>
        </w:rPr>
        <w:t>Špilja Vlakno kod Savra, sustavno istraživana od 2004., jedno je od najvažnijih nalazišta prijelaza iz paleolitika u mezolitik. Osobito značajan nalaz iz špilje je mezolitički grob 'Šime', kostur muškarca starog više od 17.000 godina.</w:t>
      </w:r>
      <w:r>
        <w:rPr>
          <w:rStyle w:val="Referencafusnote"/>
          <w:rFonts w:ascii="Times New Roman" w:hAnsi="Times New Roman" w:cs="Times New Roman"/>
          <w:sz w:val="24"/>
          <w:szCs w:val="24"/>
        </w:rPr>
        <w:footnoteReference w:id="15"/>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Za razdoblje neolitika i eneolitika zasad nema potvrđenih nalazišta na Dugom otoku, no brončano i željezno doba ostavili su brojne tragove. Posebno su važna gradinska naselja poput Omiša, Vele Straže, Gradca, Krune, Zlate i Koženjaka, koja su najčešće smještena na dominantnim položajima. Uz njih, otkriven je i niz grobnih gomila, primjerice u području Čuh polja i Dugog polja, s nalazima tipičnima za liburnsku kulturu (nakit, posude, spiralne narukvice).</w:t>
      </w:r>
      <w:r>
        <w:rPr>
          <w:rStyle w:val="Referencafusnote"/>
          <w:rFonts w:ascii="Times New Roman" w:hAnsi="Times New Roman" w:cs="Times New Roman"/>
          <w:sz w:val="24"/>
          <w:szCs w:val="24"/>
        </w:rPr>
        <w:footnoteReference w:id="16"/>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Najveći broj lokaliteta pripisuje se željeznom dobu i povezuje s liburnskim zajednicama, koje su gradile gradine s obrambenim bedemima, poput Krune, Straže i Gomiline. Brojni slučajni nalazi keramike (npr. Lavdara – Veli Bok, Puntina, Golubinka) upućuju na intenzivno korištenje prostora. Arheološki materijal uključuje tipične poluloptaste zdjele, lonce jajolikog tijela, te brončane ukrase. Kulturni krajolik Dugog otoka u prapovijesti obilježavaju i brojna nalazišta unutar špilja – Kozja peć, Strašna peć i Remetina – koja su služila kao skloništa.</w:t>
      </w:r>
      <w:r>
        <w:rPr>
          <w:rStyle w:val="Referencafusnote"/>
          <w:rFonts w:ascii="Times New Roman" w:hAnsi="Times New Roman" w:cs="Times New Roman"/>
          <w:sz w:val="24"/>
          <w:szCs w:val="24"/>
        </w:rPr>
        <w:footnoteReference w:id="17"/>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Prapovijesni slojevi Dugog otoka i okolnih otoka od iznimne su važnosti za razumijevanje naseljavanja jadranskih otoka, a brojni lokaliteti još uvijek čekaju sustavna arheološka istraživanja.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S dolaskom Rimljana</w:t>
      </w:r>
      <w:r>
        <w:rPr>
          <w:rFonts w:ascii="Times New Roman" w:hAnsi="Times New Roman" w:cs="Times New Roman"/>
          <w:sz w:val="24"/>
          <w:szCs w:val="24"/>
        </w:rPr>
        <w:t xml:space="preserve"> na istočni Jadran u 2. i 1. stoljeću pr. Kr., područje zadarskih otoka integrirano je u gospodarsku mrežu kolonije Colonia Julia Jader (Zadar). Dugi otok, Zverinac i Lavdara razvijaju se kao važna ruralna područja rimskog agera s brojnim vilama rustikama, </w:t>
      </w:r>
      <w:r>
        <w:rPr>
          <w:rFonts w:ascii="Times New Roman" w:hAnsi="Times New Roman" w:cs="Times New Roman"/>
          <w:sz w:val="24"/>
          <w:szCs w:val="24"/>
        </w:rPr>
        <w:lastRenderedPageBreak/>
        <w:t>gospodarskim i maritimnim kompleksima. Otoci se eksploatiraju za kamen, sol, ribarstvo i poljoprivredu, a uz to postaju i mjesta odmora.</w:t>
      </w:r>
      <w:r>
        <w:rPr>
          <w:rStyle w:val="Referencafusnote"/>
          <w:rFonts w:ascii="Times New Roman" w:hAnsi="Times New Roman" w:cs="Times New Roman"/>
          <w:sz w:val="24"/>
          <w:szCs w:val="24"/>
        </w:rPr>
        <w:footnoteReference w:id="18"/>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Arheološki ostaci rimske prisutnosti uključuju monumentalne vile rustike u Maloj Proversi i Stivanjem polju, u Luci, Žmanu i predjelu Velog rata, brojne su lučke instalacije, kamenolomi podvodni nalaze amfora te skup epigrafskih spomenika posjednika iz razdoblja Rimskog carstva. Početkom 4. stoljeća legalizacijom kršćanstva i osobito u 6. stoljeću tijekom vladavine cara Justinijana I., dolazi do izgradnje prvih crkvenih objekata i transformacije rimskih vila u kršćanska naselja.</w:t>
      </w:r>
      <w:r>
        <w:rPr>
          <w:rStyle w:val="Referencafusnote"/>
          <w:rFonts w:ascii="Times New Roman" w:hAnsi="Times New Roman" w:cs="Times New Roman"/>
          <w:sz w:val="24"/>
          <w:szCs w:val="24"/>
        </w:rPr>
        <w:footnoteReference w:id="19"/>
      </w:r>
      <w:r>
        <w:rPr>
          <w:rFonts w:ascii="Times New Roman" w:hAnsi="Times New Roman" w:cs="Times New Roman"/>
          <w:sz w:val="24"/>
          <w:szCs w:val="24"/>
        </w:rPr>
        <w:t xml:space="preserve"> U Telašćici i drugdje na Dugom otoku podižu se manje crkvice i refugiji za pomorce i lokalno stanovništvo. Proces romanizacije i kasnije kastrizacije otoka vidljiv je i u nastavku korištenja antičkih lokaliteta u kasnoj antici i ranom srednjem vijeku (Gruh – Sv.Ivan u Stivanjem polju, sv.Pelegrin u Savru, sv.Nikola u Božavi, kompleks na o.Utranu kod Brbinja, sv.Viktor na Citoriju), a brojne arheološke lokacije još uvijek čekaju sustavna istraživanja.</w:t>
      </w:r>
      <w:r>
        <w:rPr>
          <w:rStyle w:val="Referencafusnote"/>
          <w:rFonts w:ascii="Times New Roman" w:hAnsi="Times New Roman" w:cs="Times New Roman"/>
          <w:sz w:val="24"/>
          <w:szCs w:val="24"/>
        </w:rPr>
        <w:footnoteReference w:id="20"/>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Tijekom </w:t>
      </w:r>
      <w:r>
        <w:rPr>
          <w:rFonts w:ascii="Times New Roman" w:hAnsi="Times New Roman" w:cs="Times New Roman"/>
          <w:b/>
          <w:bCs/>
          <w:sz w:val="24"/>
          <w:szCs w:val="24"/>
        </w:rPr>
        <w:t>Srednjega vijeka</w:t>
      </w:r>
      <w:r>
        <w:rPr>
          <w:rFonts w:ascii="Times New Roman" w:hAnsi="Times New Roman" w:cs="Times New Roman"/>
          <w:sz w:val="24"/>
          <w:szCs w:val="24"/>
        </w:rPr>
        <w:t xml:space="preserve"> Dugi otok, Zverinac i Lavdara činili su dio zadarskoga distrikta. Posebno je važna uloga benediktinskog samostana sv. Krševana koji je posjedovao veći dio otoka, o čemu svjedoče brojni dokumenti od 10. do 13. stoljeća. U tim se ispravama prvi put spominju današnja naselja, a mnoge pergamene navode toponime poput Megarusa (današnja Magrovica), sv. Viktora, Stivanjeg polja i drugih. Mjesto Sali veže svoje početke upravo uz ova područja, s dokumentiranim naseljavanjem još u 10. stoljeću.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 razdoblju mletačke vlasti (1409. – 1797.), otoci se dodjeljuju zadarskim plemićima koji razvijaju posjede, naseljavaju seljake te grade crkve i gospodarske objekte. Razvijaju se djelatnosti poput solarstva, eksploatacije kamena i ribarstva. Arhitektura kasnog srednjeg i ranog novog vijeka očituje se u kompleksima obitelji Guerini i Petricioli u Salima, Dominis na Lavdari i Fanfogna na Zverincu. Ovi su objekti primjeri profane arhitekture renesanse i baroka.</w:t>
      </w:r>
      <w:r>
        <w:rPr>
          <w:rStyle w:val="Referencafusnote"/>
          <w:rFonts w:ascii="Times New Roman" w:hAnsi="Times New Roman" w:cs="Times New Roman"/>
          <w:sz w:val="24"/>
          <w:szCs w:val="24"/>
        </w:rPr>
        <w:footnoteReference w:id="21"/>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Srednjovjekovna kulturna baština očituje se i u brojnim crkvama, mnoge od kojih su građene na temeljima ranijih sakralnih objekata. Povijesni dokumenti bilježe obnove, dogradnje i opremanje tih crkava, kao i organizaciju naselja na unutrašnjem i obalnom dijelu. Povijesne </w:t>
      </w:r>
      <w:r>
        <w:rPr>
          <w:rFonts w:ascii="Times New Roman" w:hAnsi="Times New Roman" w:cs="Times New Roman"/>
          <w:sz w:val="24"/>
          <w:szCs w:val="24"/>
        </w:rPr>
        <w:lastRenderedPageBreak/>
        <w:t>okolnosti mletačke uprave, crkvenog vlasništva i lokalne ekonomije oblikovale su kulturni krajolik otoka kakav danas poznajemo.</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Otoci su stoljećima vezani uz glagoljašku tradiciju i pomorsku baštinu, uključujući brodogradnju, ribarstvo, obradu maslina i soli. Od nematerijalnih elemenata posebno se ističu otočne fešte i vjerski običaji, lokalna kuhinja (riba, maslinovo ulje, pašticada, fritule), autohtoni proizvodi (maslinovo ulje, sol, vino), kao i mitovi i legende o otoku. Ovi elementi imaju visok potencijal za interpretaciju i uključivanje u održive turističke proizvode, no većina još nije valorizirana kroz strukturiranu ponudu.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1830705"/>
            <wp:effectExtent l="0" t="0" r="0" b="0"/>
            <wp:docPr id="1544821845" name="Slika 3" descr="Slika na kojoj se prikazuje tekst, broj, snimka zaslona, c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21845" name="Slika 3" descr="Slika na kojoj se prikazuje tekst, broj, snimka zaslona, crta&#10;&#10;Sadržaj generiran uz AI možda nije toča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830705"/>
                    </a:xfrm>
                    <a:prstGeom prst="rect">
                      <a:avLst/>
                    </a:prstGeom>
                  </pic:spPr>
                </pic:pic>
              </a:graphicData>
            </a:graphic>
          </wp:inline>
        </w:drawing>
      </w:r>
    </w:p>
    <w:p w:rsidR="00702E3C" w:rsidRDefault="004B1C83">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Slika 3. Pregled kulturne baštine iz registra kulturnih dobara</w:t>
      </w:r>
    </w:p>
    <w:p w:rsidR="00702E3C" w:rsidRDefault="002D0BA4">
      <w:pPr>
        <w:spacing w:line="360" w:lineRule="auto"/>
        <w:jc w:val="center"/>
        <w:rPr>
          <w:rFonts w:ascii="Times New Roman" w:hAnsi="Times New Roman" w:cs="Times New Roman"/>
          <w:i/>
          <w:iCs/>
          <w:sz w:val="24"/>
          <w:szCs w:val="24"/>
        </w:rPr>
      </w:pPr>
      <w:r>
        <w:rPr>
          <w:rFonts w:ascii="Times New Roman" w:hAnsi="Times New Roman" w:cs="Times New Roman"/>
          <w:sz w:val="24"/>
          <w:szCs w:val="24"/>
        </w:rPr>
        <w:pict>
          <v:rect id="_x0000_i1029"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13" w:name="_Toc217040644"/>
      <w:r>
        <w:rPr>
          <w:rFonts w:ascii="Times New Roman" w:hAnsi="Times New Roman" w:cs="Times New Roman"/>
          <w:color w:val="54A021" w:themeColor="accent2"/>
        </w:rPr>
        <w:t>Javna turistička infrastruktura</w:t>
      </w:r>
      <w:bookmarkEnd w:id="13"/>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infrastruktura na području Dugog otoka, Zverinca i Lavdare obuhvaća niz objekata i sadržaja koji izravno ili neizravno pridonose razvoju turizma i valorizaciji prostora, u skladu s kategorizacijom na primarnu i sekundarnu infrastrukturu.</w:t>
      </w:r>
    </w:p>
    <w:p w:rsidR="00702E3C" w:rsidRDefault="004B1C83">
      <w:pPr>
        <w:pStyle w:val="Naslov3"/>
        <w:numPr>
          <w:ilvl w:val="2"/>
          <w:numId w:val="1"/>
        </w:numPr>
        <w:rPr>
          <w:rFonts w:ascii="Times New Roman" w:hAnsi="Times New Roman" w:cs="Times New Roman"/>
          <w:color w:val="54A021" w:themeColor="accent2"/>
        </w:rPr>
      </w:pPr>
      <w:bookmarkStart w:id="14" w:name="_Toc217040645"/>
      <w:r>
        <w:rPr>
          <w:rFonts w:ascii="Times New Roman" w:hAnsi="Times New Roman" w:cs="Times New Roman"/>
          <w:color w:val="54A021" w:themeColor="accent2"/>
        </w:rPr>
        <w:t>Primarna turistička infrastruktura</w:t>
      </w:r>
      <w:bookmarkEnd w:id="14"/>
    </w:p>
    <w:p w:rsidR="00702E3C" w:rsidRDefault="00702E3C">
      <w:pPr>
        <w:rPr>
          <w:rFonts w:ascii="Times New Roman" w:hAnsi="Times New Roman" w:cs="Times New Roman"/>
        </w:rPr>
      </w:pP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Pješačke, planinarske i tematske staze:</w:t>
      </w:r>
      <w:r>
        <w:rPr>
          <w:rFonts w:ascii="Times New Roman" w:hAnsi="Times New Roman" w:cs="Times New Roman"/>
          <w:sz w:val="24"/>
          <w:szCs w:val="24"/>
        </w:rPr>
        <w:t xml:space="preserve"> Otok obiluje uređenim pješačkim i trekking stazama različitih dužina i razina zahtjevnosti, uključujući stazu Sali – Grpašćak – Mir – Telašćica, stazu do svjetionika Veli Rat, i šetnice uz obalu (npr. oko Solišćice). TZO Sali je markirala sve staze te ih redovito održava.</w:t>
      </w: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Biciklističke rute i infrastruktura</w:t>
      </w:r>
      <w:r>
        <w:rPr>
          <w:rFonts w:ascii="Times New Roman" w:hAnsi="Times New Roman" w:cs="Times New Roman"/>
          <w:sz w:val="24"/>
          <w:szCs w:val="24"/>
        </w:rPr>
        <w:t xml:space="preserve">: Postoje uređene biciklističke staze i rute u okolici Sali, Božave i Velog Rata, s dostupnim servisima za iznajmljivanje i održavanje </w:t>
      </w:r>
      <w:r>
        <w:rPr>
          <w:rFonts w:ascii="Times New Roman" w:hAnsi="Times New Roman" w:cs="Times New Roman"/>
          <w:sz w:val="24"/>
          <w:szCs w:val="24"/>
        </w:rPr>
        <w:lastRenderedPageBreak/>
        <w:t>bicikala. Staze su signalizirane i redovito održavane. U Salima su dostupna i parkirališta za bicikle.</w:t>
      </w: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Vidikovci i odmorišta:</w:t>
      </w:r>
      <w:r>
        <w:rPr>
          <w:rFonts w:ascii="Times New Roman" w:hAnsi="Times New Roman" w:cs="Times New Roman"/>
          <w:sz w:val="24"/>
          <w:szCs w:val="24"/>
        </w:rPr>
        <w:t xml:space="preserve">  Grpašćak (Telašćica) funkcionira kao vidikovac, interpretacijski centar i odmorište s infrastrukturom za posjetitelje. Dodatni vidikovci nalaze se iznad Telašćice, uz cestu kod kamenoloma iznad Luke, uz cestu prema Sakarunu. </w:t>
      </w: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Kupališta i plaže:</w:t>
      </w:r>
      <w:r>
        <w:rPr>
          <w:rFonts w:ascii="Times New Roman" w:hAnsi="Times New Roman" w:cs="Times New Roman"/>
          <w:sz w:val="24"/>
          <w:szCs w:val="24"/>
        </w:rPr>
        <w:t xml:space="preserve"> Sakarun, Veli Žal, plaža Bok, Solišćica i brojni drugi lokaliteti uređeni su za kupanje. U blizini većih plaža postoje sanitarni čvorovi i ugostiteljski sadržaji. (ovdje treba nabaviti Program uređenja morskih plaža Zadarske županije iz 2015 gdje su navedeni svi podatci o plažama Dugog otoka)</w:t>
      </w: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Kamp odmorišta:</w:t>
      </w:r>
      <w:r>
        <w:rPr>
          <w:rFonts w:ascii="Times New Roman" w:hAnsi="Times New Roman" w:cs="Times New Roman"/>
          <w:sz w:val="24"/>
          <w:szCs w:val="24"/>
        </w:rPr>
        <w:t xml:space="preserve"> Kamp Kargita i kamp Mandarino na području Velog rata, zatim u Luci nude osnovnu infrastrukturu za šatorski i kamper turizam.</w:t>
      </w: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Interpretacijski i posjetiteljski centri:</w:t>
      </w:r>
      <w:r>
        <w:rPr>
          <w:rFonts w:ascii="Times New Roman" w:hAnsi="Times New Roman" w:cs="Times New Roman"/>
          <w:sz w:val="24"/>
          <w:szCs w:val="24"/>
        </w:rPr>
        <w:t xml:space="preserve"> Utvrda Grpašćak djeluje kao središnji interpretacijski punkt Parka prirode Telašćica. U Salima djeluje turističko-informativni centar (TIC), a TZ Dugi otok i TZ Božava redovito objavljuju interpretacijske karte i edukativne materijale.</w:t>
      </w: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Info ploče i signalizacija:</w:t>
      </w:r>
      <w:r>
        <w:rPr>
          <w:rFonts w:ascii="Times New Roman" w:hAnsi="Times New Roman" w:cs="Times New Roman"/>
          <w:sz w:val="24"/>
          <w:szCs w:val="24"/>
        </w:rPr>
        <w:t xml:space="preserve"> Na otoku je postavljeno 15 info tabli (?) koje označuju kulturno-povijesne lokalitete i prirodne točke interesa (npr. arheološke lokacije, speleološki objekti, crkve, suhozidi). Neke staze imaju QR kodove za mobilnu interpretaciju.</w:t>
      </w:r>
    </w:p>
    <w:p w:rsidR="00702E3C" w:rsidRDefault="004B1C83">
      <w:pPr>
        <w:pStyle w:val="Odlomakpopisa"/>
        <w:numPr>
          <w:ilvl w:val="0"/>
          <w:numId w:val="8"/>
        </w:numPr>
        <w:spacing w:line="360" w:lineRule="auto"/>
        <w:rPr>
          <w:rFonts w:ascii="Times New Roman" w:hAnsi="Times New Roman" w:cs="Times New Roman"/>
          <w:sz w:val="24"/>
          <w:szCs w:val="24"/>
        </w:rPr>
      </w:pPr>
      <w:r>
        <w:rPr>
          <w:rFonts w:ascii="Times New Roman" w:hAnsi="Times New Roman" w:cs="Times New Roman"/>
          <w:i/>
          <w:iCs/>
          <w:sz w:val="24"/>
          <w:szCs w:val="24"/>
        </w:rPr>
        <w:t>Vozila i plovila za posjetitelje:</w:t>
      </w:r>
      <w:r>
        <w:rPr>
          <w:rFonts w:ascii="Times New Roman" w:hAnsi="Times New Roman" w:cs="Times New Roman"/>
          <w:sz w:val="24"/>
          <w:szCs w:val="24"/>
        </w:rPr>
        <w:t xml:space="preserve"> Agencije poput Adamo Travel nude prijevoz do Kornata, organizirane izlete brodom do Telašćice i mogućnost najma brodica, kajaka, scootera i auta.</w:t>
      </w:r>
    </w:p>
    <w:p w:rsidR="00702E3C" w:rsidRDefault="002D0BA4">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0" style="width:0;height:1.5pt" o:hralign="center" o:hrstd="t" o:hr="t" fillcolor="#a0a0a0" stroked="f"/>
        </w:pict>
      </w:r>
    </w:p>
    <w:p w:rsidR="00702E3C" w:rsidRDefault="00702E3C">
      <w:pPr>
        <w:spacing w:line="360" w:lineRule="auto"/>
        <w:rPr>
          <w:rFonts w:ascii="Times New Roman" w:hAnsi="Times New Roman" w:cs="Times New Roman"/>
          <w:sz w:val="24"/>
          <w:szCs w:val="24"/>
        </w:rPr>
      </w:pPr>
    </w:p>
    <w:p w:rsidR="00702E3C" w:rsidRDefault="004B1C83">
      <w:pPr>
        <w:pStyle w:val="Naslov3"/>
        <w:numPr>
          <w:ilvl w:val="2"/>
          <w:numId w:val="1"/>
        </w:numPr>
        <w:rPr>
          <w:rFonts w:ascii="Times New Roman" w:hAnsi="Times New Roman" w:cs="Times New Roman"/>
          <w:color w:val="54A021" w:themeColor="accent2"/>
        </w:rPr>
      </w:pPr>
      <w:bookmarkStart w:id="15" w:name="_Toc217040646"/>
      <w:r>
        <w:rPr>
          <w:rFonts w:ascii="Times New Roman" w:hAnsi="Times New Roman" w:cs="Times New Roman"/>
          <w:color w:val="54A021" w:themeColor="accent2"/>
        </w:rPr>
        <w:t>Sekundarna turistička infrastruktura</w:t>
      </w:r>
      <w:bookmarkEnd w:id="15"/>
    </w:p>
    <w:p w:rsidR="00702E3C" w:rsidRDefault="00702E3C">
      <w:pPr>
        <w:rPr>
          <w:rFonts w:ascii="Times New Roman" w:hAnsi="Times New Roman" w:cs="Times New Roman"/>
        </w:rPr>
      </w:pPr>
    </w:p>
    <w:p w:rsidR="00702E3C" w:rsidRDefault="004B1C83">
      <w:pPr>
        <w:pStyle w:val="Odlomakpopisa"/>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Arheološka nalazišta i speleološki objekti:</w:t>
      </w:r>
      <w:r>
        <w:rPr>
          <w:rFonts w:ascii="Times New Roman" w:hAnsi="Times New Roman" w:cs="Times New Roman"/>
          <w:sz w:val="24"/>
          <w:szCs w:val="24"/>
        </w:rPr>
        <w:t xml:space="preserve"> Strašna peć (Savar) i brojni arheološki lokaliteti  uključeni su u edukativne i interpretacijske itinerere ( Image brošura Dugog otoka, Tragovi prošlosti-Dugi otok, image brošura Zadarskog arhipelaga). Lokaliteti su označeni i dostupni posjetiteljima u pratnji vodiča. (Brbišćica i špilja Golubinka, Pećina Vlakno, Špilja Strašna peć, Liburnski grob, Villa Rustika, Brfdo Koženjak, </w:t>
      </w:r>
      <w:r>
        <w:rPr>
          <w:rFonts w:ascii="Times New Roman" w:hAnsi="Times New Roman" w:cs="Times New Roman"/>
          <w:sz w:val="24"/>
          <w:szCs w:val="24"/>
        </w:rPr>
        <w:lastRenderedPageBreak/>
        <w:t>crkva Sv. Ante Opata, ostaci crkve Sv. Viktora, Crkvina Sv. Luka, Sv. Pelegrin, Sv. Nikola Sučevno, Darovnica - Prvi spomen ribarstva, utvrda Grpašćak)</w:t>
      </w:r>
    </w:p>
    <w:p w:rsidR="00702E3C" w:rsidRDefault="004B1C83">
      <w:pPr>
        <w:pStyle w:val="Odlomakpopisa"/>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Parkirališta i pristupne ceste:</w:t>
      </w:r>
      <w:r>
        <w:rPr>
          <w:rFonts w:ascii="Times New Roman" w:hAnsi="Times New Roman" w:cs="Times New Roman"/>
          <w:sz w:val="24"/>
          <w:szCs w:val="24"/>
        </w:rPr>
        <w:t xml:space="preserve"> Većina naselja ima uređena parkirališta, osobito u Salima, Božavi, V. Ratu i u blizini većih plaža. Glavna otočna cesta i pristupni putovi omogućuju dobru dostupnost svim naseljima.</w:t>
      </w:r>
    </w:p>
    <w:p w:rsidR="00702E3C" w:rsidRDefault="004B1C83">
      <w:pPr>
        <w:pStyle w:val="Odlomakpopisa"/>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Javni sanitarni čvorovi:</w:t>
      </w:r>
      <w:r>
        <w:rPr>
          <w:rFonts w:ascii="Times New Roman" w:hAnsi="Times New Roman" w:cs="Times New Roman"/>
          <w:sz w:val="24"/>
          <w:szCs w:val="24"/>
        </w:rPr>
        <w:t xml:space="preserve"> Postoje u većim naseljima (Sali, Božava, Veli Rat) te na lokacijama unutar Parka prirode Telašćica (u zoni Mir). Broj sanitarnih jedinica još uvijek ne zadovoljava potrebe u vršnoj sezoni.</w:t>
      </w:r>
    </w:p>
    <w:p w:rsidR="00702E3C" w:rsidRDefault="004B1C83">
      <w:pPr>
        <w:pStyle w:val="Odlomakpopisa"/>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Sportski objekti i infrastruktura:</w:t>
      </w:r>
      <w:r>
        <w:rPr>
          <w:rFonts w:ascii="Times New Roman" w:hAnsi="Times New Roman" w:cs="Times New Roman"/>
          <w:sz w:val="24"/>
          <w:szCs w:val="24"/>
        </w:rPr>
        <w:t xml:space="preserve"> U Salima, Božavi i V. Ratu postoje sportska igrališta za nogomet i košarku te vanjski tereni u funkciji rekreativnog turizma.</w:t>
      </w:r>
    </w:p>
    <w:p w:rsidR="00702E3C" w:rsidRDefault="004B1C83">
      <w:pPr>
        <w:pStyle w:val="Odlomakpopisa"/>
        <w:numPr>
          <w:ilvl w:val="0"/>
          <w:numId w:val="9"/>
        </w:numPr>
        <w:spacing w:line="360" w:lineRule="auto"/>
        <w:rPr>
          <w:rFonts w:ascii="Times New Roman" w:hAnsi="Times New Roman" w:cs="Times New Roman"/>
          <w:sz w:val="24"/>
          <w:szCs w:val="24"/>
        </w:rPr>
      </w:pPr>
      <w:r>
        <w:rPr>
          <w:rFonts w:ascii="Times New Roman" w:hAnsi="Times New Roman" w:cs="Times New Roman"/>
          <w:i/>
          <w:iCs/>
          <w:sz w:val="24"/>
          <w:szCs w:val="24"/>
        </w:rPr>
        <w:t>Objekti kulturne i profane baštine:</w:t>
      </w:r>
      <w:r>
        <w:rPr>
          <w:rFonts w:ascii="Times New Roman" w:hAnsi="Times New Roman" w:cs="Times New Roman"/>
          <w:sz w:val="24"/>
          <w:szCs w:val="24"/>
        </w:rPr>
        <w:t xml:space="preserve"> Brojni objekti iz razdoblja kasnog srednjeg vijeka i ranog novog vijeka – ladanjski kompleksi obitelji Guerini, Petricioli, Dominis i Fanfogna – nemaju funkciju u turizmu, osobito u kontekstu kulturnih događanja i vođenih tura, dok pojedina dvorišta sakralnih objekata služe za izložbe ili kulturne manifestacije npr.crkva sv.Roka, samostan u Zaglavu i slično. Rodna kuća Petra Lorinija označena je pločom dok brojne građevine koje su uvrštene u popis kulturnih dobara nemaju adekvatnu oznaku sukladno Zakonu o kulturnim dobrima. </w:t>
      </w:r>
    </w:p>
    <w:p w:rsidR="00702E3C" w:rsidRDefault="002D0BA4">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1"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16" w:name="_Toc217040647"/>
      <w:r>
        <w:rPr>
          <w:rFonts w:ascii="Times New Roman" w:hAnsi="Times New Roman" w:cs="Times New Roman"/>
          <w:color w:val="54A021" w:themeColor="accent2"/>
        </w:rPr>
        <w:t>Komunalna infrastruktura</w:t>
      </w:r>
      <w:bookmarkEnd w:id="16"/>
    </w:p>
    <w:p w:rsidR="00702E3C" w:rsidRDefault="004B1C83">
      <w:pPr>
        <w:pStyle w:val="Naslov3"/>
        <w:numPr>
          <w:ilvl w:val="2"/>
          <w:numId w:val="1"/>
        </w:numPr>
        <w:rPr>
          <w:rFonts w:ascii="Times New Roman" w:hAnsi="Times New Roman" w:cs="Times New Roman"/>
          <w:color w:val="auto"/>
        </w:rPr>
      </w:pPr>
      <w:bookmarkStart w:id="17" w:name="_Toc217040648"/>
      <w:r>
        <w:rPr>
          <w:rFonts w:ascii="Times New Roman" w:hAnsi="Times New Roman" w:cs="Times New Roman"/>
          <w:color w:val="54A021" w:themeColor="accent2"/>
        </w:rPr>
        <w:t>Telekomunikacijska infrastruktura i dostupnost interneta</w:t>
      </w:r>
      <w:bookmarkEnd w:id="17"/>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Mobilna pokrivenost 3G i 4G LTE+ signalom dostupna je u svim naseljima, uključujući Sali, Božavu i Veli Rat. 5G pokrivenost još je nejednaka ili ograničena. </w:t>
      </w:r>
      <w:r>
        <w:rPr>
          <w:rStyle w:val="Referencafusnote"/>
          <w:rFonts w:ascii="Times New Roman" w:hAnsi="Times New Roman" w:cs="Times New Roman"/>
          <w:sz w:val="24"/>
          <w:szCs w:val="24"/>
        </w:rPr>
        <w:footnoteReference w:id="22"/>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Pokrivenost unutar građevina (</w:t>
      </w:r>
      <w:r>
        <w:rPr>
          <w:rFonts w:ascii="Times New Roman" w:hAnsi="Times New Roman" w:cs="Times New Roman"/>
          <w:i/>
          <w:iCs/>
          <w:sz w:val="24"/>
          <w:szCs w:val="24"/>
        </w:rPr>
        <w:t>indoor coverage</w:t>
      </w:r>
      <w:r>
        <w:rPr>
          <w:rFonts w:ascii="Times New Roman" w:hAnsi="Times New Roman" w:cs="Times New Roman"/>
          <w:sz w:val="24"/>
          <w:szCs w:val="24"/>
        </w:rPr>
        <w:t xml:space="preserve">) je često slaba ili nepouzdana, posebno u unutrašnjosti otoka i dijelovima Telašćice. </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Dugom otoku i Zverincu dostupne su osnovne usluge mobilne telefonije i internetske povezanosti putem 4G mreže, dok Lavdara još uvijek uvelike ovisi o slabijim signalima i povremenim prekidima. Većina naselja pokrivena je signalom osnovne mobilne infrastrukture, </w:t>
      </w:r>
      <w:r>
        <w:rPr>
          <w:rFonts w:ascii="Times New Roman" w:hAnsi="Times New Roman" w:cs="Times New Roman"/>
          <w:sz w:val="24"/>
          <w:szCs w:val="24"/>
        </w:rPr>
        <w:lastRenderedPageBreak/>
        <w:t>no kvaliteta internetske veze varira, osobito u udaljenijim dijelovima i tijekom turističke sezone kada dolazi do zagušenja mreže.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općine Sali provodi se projekt širenja optičke mreže u okviru nacionalnog plana razvoja širokopojasne infrastrukture, no njegova provedba tek je u početnoj fazi. Postoji izražena potreba za jačanjem digitalne povezanosti u funkciji razvoja pametnog turizma, e-uprave i školstva, kao i za ravnomjernom pokrivenošću internetskim signalom u svim naseljima i uvalama koje bilježe turistički promet.</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Preporuka:</w:t>
      </w:r>
      <w:r>
        <w:rPr>
          <w:rFonts w:ascii="Times New Roman" w:hAnsi="Times New Roman" w:cs="Times New Roman"/>
          <w:sz w:val="24"/>
          <w:szCs w:val="24"/>
        </w:rPr>
        <w:t xml:space="preserve"> postavljanje repetitora u ključnim turističkim zonama i razvoj optičke veze (FTTH) za turistički i lokalni razvoj.</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2"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18" w:name="_Toc217040649"/>
      <w:r>
        <w:rPr>
          <w:rFonts w:ascii="Times New Roman" w:hAnsi="Times New Roman" w:cs="Times New Roman"/>
          <w:color w:val="54A021" w:themeColor="accent2"/>
        </w:rPr>
        <w:t>Energetska infrastruktura</w:t>
      </w:r>
      <w:bookmarkEnd w:id="18"/>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Dugi otok je povezan s mrežom elektroopskrbe preko dalekovoda 35 kV i trafostanica TS Sali i TS Dugi otok (35/10 kV), uz prijenos iz TS Kukljica i Ugljan prema otoku. </w:t>
      </w:r>
      <w:r>
        <w:rPr>
          <w:rStyle w:val="Referencafusnote"/>
          <w:rFonts w:ascii="Times New Roman" w:hAnsi="Times New Roman" w:cs="Times New Roman"/>
          <w:sz w:val="24"/>
          <w:szCs w:val="24"/>
        </w:rPr>
        <w:footnoteReference w:id="23"/>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Tranzicijski plan prema čistoj energiji (energetski plan za Dugi otok, Zverinac i Lavdaru) definira potencijal za razvoj obnovljivih izvora (bonitetni solarni i vjetroparkovi), u suradnji s lokalnom zajednicom i institucijama. </w:t>
      </w:r>
      <w:r>
        <w:rPr>
          <w:rStyle w:val="Referencafusnote"/>
          <w:rFonts w:ascii="Times New Roman" w:hAnsi="Times New Roman" w:cs="Times New Roman"/>
          <w:sz w:val="24"/>
          <w:szCs w:val="24"/>
        </w:rPr>
        <w:footnoteReference w:id="24"/>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Dugog otoka, Zverinca i Lavdare električna energija osigurava se putem podmorskih i otočnih vodova povezanih s elektroenergetskom mrežom Zadarske županije. Svi veći otočni centri imaju pristup javnoj elektroopskrbi, no infrastruktura je često zastarjela, osobito u manjim i udaljenijim naseljima. Tijekom ljetne sezone dolazi do povećanog opterećenja sustava, što povremeno rezultira padovima napona i nestancima električne energije.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Unatoč povoljnim klimatskim i geografskim uvjetima, korištenje obnovljivih izvora energije (sunce, vjetar) još uvijek nije dovoljno razvijeno. Inicijative u tom smjeru zasad su ograničene na individualne objekte – primjerice kućanstva i turističke objekte opremljene solarnim panelima, osobito u zabačenijim uvalama. Strategije energetske tranzicije otočnih područja trebale bi uključivati sustavno planiranje fotonaponskih polja, energetske zadruge i pilot-projekte samoodrživih naselja.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Preporuka:</w:t>
      </w:r>
      <w:r>
        <w:rPr>
          <w:rFonts w:ascii="Times New Roman" w:hAnsi="Times New Roman" w:cs="Times New Roman"/>
          <w:sz w:val="24"/>
          <w:szCs w:val="24"/>
        </w:rPr>
        <w:t xml:space="preserve"> intenzivnija implementacija solarnih panela na javne zgrade, kampove i infrastrukturu turističke ponude, uz istraživanje primjene e-mobilnosti te pumpi/punionica za e-bicikle.</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3"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19" w:name="_Toc217040650"/>
      <w:r>
        <w:rPr>
          <w:rFonts w:ascii="Times New Roman" w:hAnsi="Times New Roman" w:cs="Times New Roman"/>
          <w:color w:val="54A021" w:themeColor="accent2"/>
        </w:rPr>
        <w:t>Vodoopskrba i odvodnja</w:t>
      </w:r>
      <w:bookmarkEnd w:id="19"/>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Trenutno je opskrba vodom u većini naselja oslanjana na lokalne cisternske sustave (gustirne) i vodonosce, uz dopunu vodom dovozom brodovima. Sustav općenito ima nedovoljni kapacitet tijekom vršne turističke sezone. </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Planu uređenja općine Sali, predviđa se povezivanje otoka podmorskim cjevovodima sa strateškom vezom prema sustavu regionalnog vodovoda Zadarske županije, s ciljem potpune integracije u sljedeće 3–4 godine. </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Vodoopskrba Dugog otoka, Zverinca i Lavdare temelji se na kombinaciji javnog vodoopskrbnog sustava, cisterni i individualnih spremnika za kišnicu. Većina većih naselja priključena je na županijski vodovod kroz podmorski cjevovod i lokalne vodospremnike, dok manja i izoliranija naselja i dalje u velikoj mjeri ovise o dopremi vode autocisternama, osobito tijekom ljetnih mjeseci.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Otoci nemaju razvijen sustav javne odvodnje. Umjesto toga koriste se sabirne jame i septički sustavi, često bez odgovarajuće kontrole i pročišćavanja. Tijekom turističke sezone povećano opterećenje postojećih sustava dodatno pogoršava stanje, osobito u područjima s većim brojem smještajnih kapaciteta. Posebno je važno istaknuti potrebu za razvojem sustava sekundarnog pročišćavanja, uvođenjem biopročistača i edukacijom o pravilnom održavanju postojećih sustava.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Preporuka:</w:t>
      </w:r>
      <w:r>
        <w:rPr>
          <w:rFonts w:ascii="Times New Roman" w:hAnsi="Times New Roman" w:cs="Times New Roman"/>
          <w:sz w:val="24"/>
          <w:szCs w:val="24"/>
        </w:rPr>
        <w:t xml:space="preserve"> praćenje razvoja regionalnog vodovoda, te do tada unaprjeđenje lokalnih vodospremnika, kapaciteta cisterni i planiranja sigurnosti pitke vode.</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4"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20" w:name="_Toc217040651"/>
      <w:r>
        <w:rPr>
          <w:rFonts w:ascii="Times New Roman" w:hAnsi="Times New Roman" w:cs="Times New Roman"/>
          <w:color w:val="54A021" w:themeColor="accent2"/>
        </w:rPr>
        <w:t>Otpadne vode</w:t>
      </w:r>
      <w:bookmarkEnd w:id="20"/>
    </w:p>
    <w:p w:rsidR="00702E3C" w:rsidRDefault="00702E3C">
      <w:pPr>
        <w:rPr>
          <w:rFonts w:ascii="Times New Roman" w:hAnsi="Times New Roman" w:cs="Times New Roman"/>
        </w:rPr>
      </w:pP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 xml:space="preserve">Sustavno zbrinjavanje otpadnih voda jedan je od ključnih izazova komunalne infrastrukture Dugog otoka, Zverinca i Lavdare. Na području općine Sali ne postoji razvijen jedinstveni </w:t>
      </w:r>
      <w:r>
        <w:rPr>
          <w:rFonts w:ascii="Times New Roman" w:hAnsi="Times New Roman" w:cs="Times New Roman"/>
          <w:sz w:val="24"/>
          <w:szCs w:val="24"/>
        </w:rPr>
        <w:lastRenderedPageBreak/>
        <w:t>sustav javne kanalizacije, a većina naselja koristi individualna rješenja poput sabirnih i septičkih jama, često bez sustava pročišćavanja. Ovakva praksa predstavlja ekološki rizik, osobito u osjetljivim obalnim i zaštićenim područjima.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Djelomični sustavi odvodnje s ispustima u more evidentirani su u naseljima Sali, Božava i Veli Rat, no nedostaju uređaji za pročišćavanje otpadnih voda. Kanalizacijska mreža planirana je u sklopu lokalnih razvojnih strategija i tehničke dokumentacije (primjerice u Božavi), no konkretna realizacija ovisi o dostupnosti sredstava i koordinaciji s nadležnim komunalnim poduzećima i Hrvatskim vodama.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Otok Zverinac i Lavdara u potpunosti se oslanjaju na individualne sabirne jame, čije održavanje i pražnjenje dodatno opterećuje komunalne resurse tijekom turističke sezone. Terenska konfiguracija i krški sastav tla otežavaju kontrolu mogućih propuštanja sadržaja u podzemlje, s posljedičnim rizikom onečišćenja tla i mora.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U kontekstu razvoja turizma i očuvanja prirodnih resursa, odvodnja otpadnih voda predstavlja prioritetnu temu prostornog i infrastrukturnog planiranja. Potrebno je izraditi studije utjecaja postojećih rješenja na okoliš, osobito u obuhvatu Parka prirode Telašćica, te definirati optimalne lokacije za buduće uređaje za pročišćavanje, barem sekundarnog stupnja.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Dodatno, preporučuje se:</w:t>
      </w:r>
    </w:p>
    <w:p w:rsidR="00702E3C" w:rsidRDefault="004B1C83">
      <w:pPr>
        <w:pStyle w:val="Odlomakpopis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poticanje ugradnje malih bioloških pročistača u turističke objekte i kućanstva,</w:t>
      </w:r>
    </w:p>
    <w:p w:rsidR="00702E3C" w:rsidRDefault="004B1C83">
      <w:pPr>
        <w:pStyle w:val="Odlomakpopis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razvoj sustava redovitog pražnjenja sabirnih jama i kontrole njihova tehničkog stanja,</w:t>
      </w:r>
    </w:p>
    <w:p w:rsidR="00702E3C" w:rsidRDefault="004B1C83">
      <w:pPr>
        <w:pStyle w:val="Odlomakpopisa"/>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edukacija lokalnog stanovništva i turističkih djelatnika o važnosti pravilnog zbrinjavanja otpadnih voda.</w:t>
      </w:r>
    </w:p>
    <w:p w:rsidR="00702E3C" w:rsidRDefault="002D0BA4">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5"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21" w:name="_Toc217040652"/>
      <w:r>
        <w:rPr>
          <w:rFonts w:ascii="Times New Roman" w:hAnsi="Times New Roman" w:cs="Times New Roman"/>
          <w:color w:val="54A021" w:themeColor="accent2"/>
        </w:rPr>
        <w:t>Gospodarenje otpadom</w:t>
      </w:r>
      <w:bookmarkEnd w:id="21"/>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Gospodarenje otpadom na Dugom otoku, Zverincu i Lavdari organizirano je u okviru općinske nadležnosti i provodi se putem komunalnog poduzeća "Mulić d.o.o." koje pokriva sakupljanje i odvoz miješanog i selektiranog otpada. Otpad se privremeno skladišti na reciklažnom dvorištu u Brbinju te potom transportira trajektnim linijama na kopno. Na otoku ne postoji stalno odlagalište otpada.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 posljednjih nekoliko godina razvijen je sustav selektivnog prikupljanja otpada (plastika, papir, staklo), no učinkovitost je još uvijek neujednačena i ovisi o navikama stanovništva te kapacitetima javne usluge, posebno u ljetnim mjesecima. Edukacijske kampanje o pravilnom razvrstavanju otpada još uvijek su rijetke, a mnoge turističke jedinice nemaju adekvatnu infrastrukturu za odvojeno prikupljanje otpada.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Preporučuje se:</w:t>
      </w:r>
    </w:p>
    <w:p w:rsidR="00702E3C" w:rsidRDefault="004B1C83">
      <w:pPr>
        <w:pStyle w:val="Odlomakpopis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jačanje sustava edukacije lokalnog stanovništva i posjetitelja,</w:t>
      </w:r>
    </w:p>
    <w:p w:rsidR="00702E3C" w:rsidRDefault="004B1C83">
      <w:pPr>
        <w:pStyle w:val="Odlomakpopis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povećanje broja kontejnera za selektivni otpad,</w:t>
      </w:r>
    </w:p>
    <w:p w:rsidR="00702E3C" w:rsidRDefault="004B1C83">
      <w:pPr>
        <w:pStyle w:val="Odlomakpopis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uvođenje mobilnih reciklažnih dvorišta u udaljenija naselja,</w:t>
      </w:r>
    </w:p>
    <w:p w:rsidR="00702E3C" w:rsidRDefault="004B1C83">
      <w:pPr>
        <w:pStyle w:val="Odlomakpopis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planiranje dugoročnog održivog modela gospodarenja otpadom u skladu s ciljevima kružnog gospodarstva.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Mulić d.o.o. odgovorno je za zbrinjavanje otpada, uključujući opasne frakcije. U 2023. nabavljena su dva električna vozila za prikupljanje otpada. </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Općina sudjeluje u EU projektu „For Plastic‑Free Croatian Islands“, uz implementaciju mobilnog reciklažnog dvorišta i promotivno-edukativnih aktivnosti. </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i/>
          <w:iCs/>
          <w:sz w:val="24"/>
          <w:szCs w:val="24"/>
        </w:rPr>
        <w:t>Preporuka:</w:t>
      </w:r>
      <w:r>
        <w:rPr>
          <w:rFonts w:ascii="Times New Roman" w:hAnsi="Times New Roman" w:cs="Times New Roman"/>
          <w:sz w:val="24"/>
          <w:szCs w:val="24"/>
        </w:rPr>
        <w:t xml:space="preserve"> proširenje reciklaže biootpadom i elektroničkom komponentom, te uvođenje statističkog praćenja količina otpada sezonski za procjenu pritisaka.</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36"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22" w:name="_Toc217040653"/>
      <w:r>
        <w:rPr>
          <w:rFonts w:ascii="Times New Roman" w:hAnsi="Times New Roman" w:cs="Times New Roman"/>
          <w:color w:val="54A021" w:themeColor="accent2"/>
        </w:rPr>
        <w:t>Prometna infrastruktura</w:t>
      </w:r>
      <w:bookmarkEnd w:id="22"/>
    </w:p>
    <w:p w:rsidR="00702E3C" w:rsidRDefault="00702E3C">
      <w:pPr>
        <w:rPr>
          <w:rFonts w:ascii="Times New Roman" w:hAnsi="Times New Roman" w:cs="Times New Roman"/>
        </w:rPr>
      </w:pP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Prometna dostupnost Dugog otoka, Zverinca i Lavdare izravno utječe na svakodnevni život lokalnog stanovništva, ali i na razvoj turizma. S obzirom na otočni karakter, destinacija ovisi primarno o morskom prometu, dok su cestovna povezanost unutar otoka i stanje parkirališnih kapaciteta ključni za internu mobilnost, osobito tijekom turističke sezone.</w:t>
      </w:r>
    </w:p>
    <w:p w:rsidR="00702E3C" w:rsidRDefault="004B1C83">
      <w:pPr>
        <w:pStyle w:val="Naslov3"/>
        <w:rPr>
          <w:rFonts w:ascii="Times New Roman" w:hAnsi="Times New Roman" w:cs="Times New Roman"/>
          <w:color w:val="auto"/>
        </w:rPr>
      </w:pPr>
      <w:bookmarkStart w:id="23" w:name="_Toc217040654"/>
      <w:r>
        <w:rPr>
          <w:rFonts w:ascii="Times New Roman" w:hAnsi="Times New Roman" w:cs="Times New Roman"/>
          <w:color w:val="54A021" w:themeColor="accent2"/>
        </w:rPr>
        <w:t>3.4.1. Morski promet, pristaništa i luke</w:t>
      </w:r>
      <w:bookmarkEnd w:id="23"/>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Dugi otok povezan je s kopnom redovitim trajektnim i brodskim linijama koje povezuju Sali i Brbinj s lukom Zadar (Gaženica), a tijekom ljeta uvode se i dodatne linije iz Zadra prema otoku. Trajektna luka Brbinj glavna je točka za prijevoz vozila i putnika, dok Sali, Zaglav i Božava imaju brodske veze. Linije održava Jadrolinija, G&amp;V line i TP line, a problemi uključuju:</w:t>
      </w:r>
    </w:p>
    <w:p w:rsidR="00702E3C" w:rsidRDefault="004B1C83">
      <w:pPr>
        <w:pStyle w:val="Odlomakpopisa"/>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ograničeni broj polazaka izvan sezone,</w:t>
      </w:r>
    </w:p>
    <w:p w:rsidR="00702E3C" w:rsidRDefault="004B1C83">
      <w:pPr>
        <w:pStyle w:val="Odlomakpopisa"/>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preopterećenost linija u srpnju i kolovozu,</w:t>
      </w:r>
    </w:p>
    <w:p w:rsidR="00702E3C" w:rsidRDefault="004B1C83">
      <w:pPr>
        <w:pStyle w:val="Odlomakpopisa"/>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ograničen kapacitet brodova za prijevoz vozila.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Manja pristaništa i rive (npr. Luka, Savar, Dragove) koriste se za lokalni ribarski, rekreativni i turistički promet, ali često imaju neuređenu infrastrukturu, slab vez za električnu energiju i vodu te ograničene kapacitete za prihvat plovila.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Zverinac ima pristanište za putnički promet, povezano brodskom linijom sa Zadrom, dok je Lavdara dostupna isključivo privatnim brodicama. Na području Parka prirode Telašćica nalazi se sidrište s vezovima za nautičare i službeno pristanište za posjetitelje parka, ali i brojne neformalno korištene pozicije za pristajanje brodica.</w:t>
      </w:r>
    </w:p>
    <w:tbl>
      <w:tblPr>
        <w:tblW w:w="0" w:type="auto"/>
        <w:tblCellSpacing w:w="15" w:type="dxa"/>
        <w:tblBorders>
          <w:top w:val="dotted" w:sz="4" w:space="0" w:color="54A021" w:themeColor="accent2"/>
          <w:left w:val="dotted" w:sz="4" w:space="0" w:color="54A021" w:themeColor="accent2"/>
          <w:bottom w:val="dotted" w:sz="4" w:space="0" w:color="54A021" w:themeColor="accent2"/>
          <w:right w:val="dotted" w:sz="4" w:space="0" w:color="54A021" w:themeColor="accent2"/>
          <w:insideH w:val="dotted" w:sz="4" w:space="0" w:color="54A021" w:themeColor="accent2"/>
          <w:insideV w:val="dotted" w:sz="4" w:space="0" w:color="54A021" w:themeColor="accent2"/>
        </w:tblBorders>
        <w:tblCellMar>
          <w:top w:w="15" w:type="dxa"/>
          <w:left w:w="15" w:type="dxa"/>
          <w:bottom w:w="15" w:type="dxa"/>
          <w:right w:w="15" w:type="dxa"/>
        </w:tblCellMar>
        <w:tblLook w:val="04A0" w:firstRow="1" w:lastRow="0" w:firstColumn="1" w:lastColumn="0" w:noHBand="0" w:noVBand="1"/>
      </w:tblPr>
      <w:tblGrid>
        <w:gridCol w:w="2998"/>
        <w:gridCol w:w="1887"/>
        <w:gridCol w:w="4177"/>
      </w:tblGrid>
      <w:tr w:rsidR="00702E3C">
        <w:trPr>
          <w:tblHeader/>
          <w:tblCellSpacing w:w="15" w:type="dxa"/>
        </w:trPr>
        <w:tc>
          <w:tcPr>
            <w:tcW w:w="0" w:type="auto"/>
            <w:shd w:val="clear" w:color="auto" w:fill="92D050"/>
            <w:vAlign w:val="center"/>
          </w:tcPr>
          <w:p w:rsidR="00702E3C" w:rsidRDefault="004B1C83">
            <w:pPr>
              <w:spacing w:after="0" w:line="240" w:lineRule="auto"/>
              <w:jc w:val="center"/>
              <w:rPr>
                <w:rFonts w:ascii="Times New Roman" w:eastAsia="Times New Roman" w:hAnsi="Times New Roman" w:cs="Times New Roman"/>
                <w:b/>
                <w:bCs/>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Lokacija</w:t>
            </w:r>
          </w:p>
        </w:tc>
        <w:tc>
          <w:tcPr>
            <w:tcW w:w="0" w:type="auto"/>
            <w:shd w:val="clear" w:color="auto" w:fill="92D050"/>
            <w:vAlign w:val="center"/>
          </w:tcPr>
          <w:p w:rsidR="00702E3C" w:rsidRDefault="004B1C83">
            <w:pPr>
              <w:spacing w:after="0" w:line="240" w:lineRule="auto"/>
              <w:jc w:val="center"/>
              <w:rPr>
                <w:rFonts w:ascii="Times New Roman" w:eastAsia="Times New Roman" w:hAnsi="Times New Roman" w:cs="Times New Roman"/>
                <w:b/>
                <w:bCs/>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Tip objekta</w:t>
            </w:r>
          </w:p>
        </w:tc>
        <w:tc>
          <w:tcPr>
            <w:tcW w:w="0" w:type="auto"/>
            <w:shd w:val="clear" w:color="auto" w:fill="92D050"/>
            <w:vAlign w:val="center"/>
          </w:tcPr>
          <w:p w:rsidR="00702E3C" w:rsidRDefault="004B1C83">
            <w:pPr>
              <w:spacing w:after="0" w:line="240" w:lineRule="auto"/>
              <w:jc w:val="center"/>
              <w:rPr>
                <w:rFonts w:ascii="Times New Roman" w:eastAsia="Times New Roman" w:hAnsi="Times New Roman" w:cs="Times New Roman"/>
                <w:b/>
                <w:bCs/>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Kapacitet / Napomene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Telašćica (PP)</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Sidrište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 250 vezova, kontrola, info punkt, naplata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Nautika Veli Rat</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Nautička marina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77 stalnih vezova; 93 tranzitna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NS Pantera - Veli Rat</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Nautičko sidrište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96 vezova/sidrište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NS Sakarun</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Nautičko sidrište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30 vezova/sidrište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NS Lučina 2 - Brbinj</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Nautičko sidrište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30 vezova/sidrište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NS Bok - Brbinj</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Nautičko sidrište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19 vezova/sidrište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NS Stržna - Brbinj</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Nautičko sidrište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32 vezova/sidrište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NS Lučica - Verunić</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Nutičko sidrište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5 vezova/sidrište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 Božava - ŽLU</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25 vezova; struja i voda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 Sali - ŽLU</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68 vezova; struja i voda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 Brbinj (Lučina) - ŽLU</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15 vezova; struja i voda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 Zaglav - ŽLU</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6 vezova; struja i voda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 Luka - ŽLU</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Privezište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 5 vezova; struja i voda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Uvala Lučina (Brbinj)</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val="en-US" w:eastAsia="hr-HR"/>
                <w14:ligatures w14:val="none"/>
              </w:rPr>
              <w:t>Putnička luka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val="en-US" w:eastAsia="hr-HR"/>
                <w14:ligatures w14:val="none"/>
              </w:rPr>
            </w:pPr>
            <w:r>
              <w:rPr>
                <w:rFonts w:ascii="Times New Roman" w:eastAsia="Times New Roman" w:hAnsi="Times New Roman" w:cs="Times New Roman"/>
                <w:kern w:val="0"/>
                <w:sz w:val="24"/>
                <w:szCs w:val="24"/>
                <w:lang w:eastAsia="hr-HR"/>
                <w14:ligatures w14:val="none"/>
              </w:rPr>
              <w:t>≈ </w:t>
            </w:r>
            <w:r>
              <w:rPr>
                <w:rFonts w:ascii="Times New Roman" w:eastAsia="Times New Roman" w:hAnsi="Times New Roman" w:cs="Times New Roman"/>
                <w:kern w:val="0"/>
                <w:sz w:val="24"/>
                <w:szCs w:val="24"/>
                <w:lang w:val="en-US" w:eastAsia="hr-HR"/>
                <w14:ligatures w14:val="none"/>
              </w:rPr>
              <w:t>javni promet</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Sali, Zaglav, Luka, Božava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Lokalna pristaništa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Putnički i turistički promet, manje jahte, ribari</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Zverinac</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Mali priobalni mol</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Povezan sa Zadrom, za lokalne korisnike</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Lavdara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Privatna sidrišta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Samo za privatna i charter plovila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Popularne uvale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Neformalna sidrišta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Neregulirana, sezonski korištena od nautičara</w:t>
            </w:r>
          </w:p>
        </w:tc>
      </w:tr>
    </w:tbl>
    <w:p w:rsidR="00702E3C" w:rsidRDefault="00702E3C">
      <w:pPr>
        <w:spacing w:line="360" w:lineRule="auto"/>
        <w:rPr>
          <w:rFonts w:ascii="Times New Roman" w:hAnsi="Times New Roman" w:cs="Times New Roman"/>
          <w:sz w:val="24"/>
          <w:szCs w:val="24"/>
        </w:rPr>
      </w:pPr>
    </w:p>
    <w:p w:rsidR="00702E3C" w:rsidRDefault="002D0BA4">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7" style="width:0;height:1.5pt" o:hralign="center" o:hrstd="t" o:hr="t" fillcolor="#a0a0a0" stroked="f"/>
        </w:pict>
      </w:r>
    </w:p>
    <w:p w:rsidR="00702E3C" w:rsidRDefault="004B1C83">
      <w:pPr>
        <w:pStyle w:val="Naslov3"/>
        <w:rPr>
          <w:rFonts w:ascii="Times New Roman" w:hAnsi="Times New Roman" w:cs="Times New Roman"/>
          <w:color w:val="54A021" w:themeColor="accent2"/>
        </w:rPr>
      </w:pPr>
      <w:bookmarkStart w:id="24" w:name="_Toc217040655"/>
      <w:r>
        <w:rPr>
          <w:rFonts w:ascii="Times New Roman" w:hAnsi="Times New Roman" w:cs="Times New Roman"/>
          <w:color w:val="54A021" w:themeColor="accent2"/>
        </w:rPr>
        <w:lastRenderedPageBreak/>
        <w:t>3.4.2. Cestovna mreža</w:t>
      </w:r>
      <w:bookmarkEnd w:id="24"/>
    </w:p>
    <w:p w:rsidR="00702E3C" w:rsidRDefault="00702E3C">
      <w:pPr>
        <w:rPr>
          <w:rFonts w:ascii="Times New Roman" w:hAnsi="Times New Roman" w:cs="Times New Roman"/>
        </w:rPr>
      </w:pP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Unutarnja cestovna mreža Dugog otoka proteže se kroz otočnu glavnu cestu D109 koja povezuje sjeverni i južni dio otoka od Velog Rata do Sali. Glavna prometnica zadovoljava osnovne kriterije povezanosti, ali na brojnim dionicama županijska i lokalna cesta prolazi kroz naselja s uskim kolnicima, ograničenim pješačkim prostorom i lošom signalizacijom. Poseban problem predstavlja neprimjereno pretjecanje, osobito u zoni škole i frekventnih uvala, što ugrožava sigurnost svih sudionika u prometu.</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Sporedne ceste koje vode do turističkih lokaliteta i uvala (Telašćica, Proversa, Sakarun) često su neasfaltirane ili uske, bez adekvatne prometne signalizacije, što u visokoj sezoni dovodi do zastoja i otežanog prometovanja.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Zverinac ima osnovnu cestovnu mrežu prilagođenu pješačkom prometu i malim vozilima, dok Lavdara nema razvijenu cestovnu infrastrukturu.</w:t>
      </w:r>
    </w:p>
    <w:p w:rsidR="00702E3C" w:rsidRDefault="002D0BA4">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38" style="width:0;height:1.5pt" o:hralign="center" o:hrstd="t" o:hr="t" fillcolor="#a0a0a0" stroked="f"/>
        </w:pict>
      </w:r>
    </w:p>
    <w:p w:rsidR="00702E3C" w:rsidRDefault="004B1C83">
      <w:pPr>
        <w:pStyle w:val="Naslov3"/>
        <w:rPr>
          <w:rFonts w:ascii="Times New Roman" w:hAnsi="Times New Roman" w:cs="Times New Roman"/>
          <w:color w:val="54A021" w:themeColor="accent2"/>
        </w:rPr>
      </w:pPr>
      <w:bookmarkStart w:id="25" w:name="_Toc217040656"/>
      <w:r>
        <w:rPr>
          <w:rFonts w:ascii="Times New Roman" w:hAnsi="Times New Roman" w:cs="Times New Roman"/>
          <w:color w:val="54A021" w:themeColor="accent2"/>
        </w:rPr>
        <w:t>3.4.3. Parkirališta i promet u mirovanju</w:t>
      </w:r>
      <w:bookmarkEnd w:id="25"/>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Najveći problem predstavlja nedostatak organiziranih parkirališta u blizini glavnih turističkih atrakcija i plaža. U Salima i Božavi postoje uređene parkirne površine, ali one nisu dostatne tijekom ljetnih mjeseci. Parkiranje često prelazi u neformalne površine, uključujući privatna zemljišta ili rubove prometnica, čime dolazi do oštećenja okoliša i narušavanja vizualnog identiteta prostora.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518160</wp:posOffset>
            </wp:positionH>
            <wp:positionV relativeFrom="paragraph">
              <wp:posOffset>1376045</wp:posOffset>
            </wp:positionV>
            <wp:extent cx="4676140" cy="2979420"/>
            <wp:effectExtent l="0" t="0" r="0" b="0"/>
            <wp:wrapTopAndBottom/>
            <wp:docPr id="1682173326" name="Slika 8" descr="Slika na kojoj se prikazuje tekst, snimka zaslona, Font,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73326" name="Slika 8" descr="Slika na kojoj se prikazuje tekst, snimka zaslona, Font, dizajn&#10;&#10;Sadržaj generiran uz AI možda nije točan."/>
                    <pic:cNvPicPr>
                      <a:picLocks noChangeAspect="1"/>
                    </pic:cNvPicPr>
                  </pic:nvPicPr>
                  <pic:blipFill>
                    <a:blip r:embed="rId14" cstate="print">
                      <a:extLst>
                        <a:ext uri="{28A0092B-C50C-407E-A947-70E740481C1C}">
                          <a14:useLocalDpi xmlns:a14="http://schemas.microsoft.com/office/drawing/2010/main" val="0"/>
                        </a:ext>
                      </a:extLst>
                    </a:blip>
                    <a:srcRect l="4741" r="6966"/>
                    <a:stretch>
                      <a:fillRect/>
                    </a:stretch>
                  </pic:blipFill>
                  <pic:spPr>
                    <a:xfrm>
                      <a:off x="0" y="0"/>
                      <a:ext cx="4676140" cy="2979420"/>
                    </a:xfrm>
                    <a:prstGeom prst="rect">
                      <a:avLst/>
                    </a:prstGeom>
                    <a:ln>
                      <a:noFill/>
                    </a:ln>
                  </pic:spPr>
                </pic:pic>
              </a:graphicData>
            </a:graphic>
          </wp:anchor>
        </w:drawing>
      </w:r>
      <w:r>
        <w:rPr>
          <w:rFonts w:ascii="Times New Roman" w:hAnsi="Times New Roman" w:cs="Times New Roman"/>
          <w:sz w:val="24"/>
          <w:szCs w:val="24"/>
        </w:rPr>
        <w:t>U uvalama Sakarun i Veli Žal tijekom srpnja i kolovoza redovito dolazi do preopterećenja kapaciteta, a nedostatak nadzora rezultira nepropisnim parkiranjem. Rijetko se koriste suvremena rješenja poput pametnih parkirnih sustava ili sezonskih shuttle prijevoza od udaljenijih zona.</w:t>
      </w:r>
    </w:p>
    <w:p w:rsidR="00702E3C" w:rsidRDefault="00702E3C">
      <w:pPr>
        <w:spacing w:line="360" w:lineRule="auto"/>
        <w:jc w:val="both"/>
        <w:rPr>
          <w:rFonts w:ascii="Times New Roman" w:hAnsi="Times New Roman" w:cs="Times New Roman"/>
          <w:sz w:val="24"/>
          <w:szCs w:val="24"/>
        </w:rPr>
      </w:pPr>
    </w:p>
    <w:p w:rsidR="00702E3C" w:rsidRDefault="004B1C83">
      <w:pPr>
        <w:pStyle w:val="Naslov2"/>
        <w:numPr>
          <w:ilvl w:val="1"/>
          <w:numId w:val="1"/>
        </w:numPr>
        <w:rPr>
          <w:rFonts w:ascii="Times New Roman" w:hAnsi="Times New Roman" w:cs="Times New Roman"/>
          <w:color w:val="54A021" w:themeColor="accent2"/>
        </w:rPr>
      </w:pPr>
      <w:bookmarkStart w:id="26" w:name="_Toc217040657"/>
      <w:r>
        <w:rPr>
          <w:rFonts w:ascii="Times New Roman" w:hAnsi="Times New Roman" w:cs="Times New Roman"/>
          <w:color w:val="54A021" w:themeColor="accent2"/>
        </w:rPr>
        <w:t>Analiza stanja digitalizacije</w:t>
      </w:r>
      <w:bookmarkEnd w:id="26"/>
    </w:p>
    <w:p w:rsidR="00702E3C" w:rsidRDefault="004B1C83">
      <w:pPr>
        <w:pStyle w:val="Naslov3"/>
        <w:numPr>
          <w:ilvl w:val="2"/>
          <w:numId w:val="1"/>
        </w:numPr>
        <w:rPr>
          <w:rFonts w:ascii="Times New Roman" w:hAnsi="Times New Roman" w:cs="Times New Roman"/>
          <w:color w:val="54A021" w:themeColor="accent2"/>
        </w:rPr>
      </w:pPr>
      <w:bookmarkStart w:id="27" w:name="_Toc217040658"/>
      <w:r>
        <w:rPr>
          <w:rFonts w:ascii="Times New Roman" w:hAnsi="Times New Roman" w:cs="Times New Roman"/>
          <w:color w:val="54A021" w:themeColor="accent2"/>
        </w:rPr>
        <w:t>Digitalna infrastruktura i povezanost</w:t>
      </w:r>
      <w:bookmarkEnd w:id="27"/>
    </w:p>
    <w:p w:rsidR="00702E3C" w:rsidRDefault="00702E3C">
      <w:pPr>
        <w:rPr>
          <w:rFonts w:ascii="Times New Roman" w:hAnsi="Times New Roman" w:cs="Times New Roman"/>
        </w:rPr>
      </w:pPr>
    </w:p>
    <w:p w:rsidR="00702E3C" w:rsidRDefault="004B1C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Na području Dugog otoka, Zverinca i Lavdare dostupnost internetske infrastrukture je različita. Većina naselja (Sali, Božava, Luka, Brbinj, Zaglav) ima pristup fiksnoj i mobilnoj mreži 4G, no u udaljenijim dijelovima (poput Lavdare, uvale Mir, Kornata i dijelova Parka prirode Telašćica) pokrivenost signalom je slaba ili povremena. Besplatni Wi-Fi dostupan je u nekoliko javnih prostora (TZ, općina, pojedini ugostiteljski objekti), ali ne postoji sustavno razvijena javna Wi-Fi mreža.</w:t>
      </w:r>
    </w:p>
    <w:p w:rsidR="00702E3C" w:rsidRDefault="004B1C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Nisu implementirane „smart city“ tehnologije u smislu senzorskih sustava, dinamičkog upravljanja prometom ili digitalnih informacijskih točaka na otoku. Pristup aplikacijama i digitalnim sadržajima turistima prepušten je pojedinačnim iznajmljivačima, privatnim agencijama ili Parku prirode Telašćica.</w:t>
      </w:r>
    </w:p>
    <w:p w:rsidR="00702E3C" w:rsidRDefault="002D0BA4">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pict>
          <v:rect id="_x0000_i1039"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28" w:name="_Toc217040659"/>
      <w:r>
        <w:rPr>
          <w:rFonts w:ascii="Times New Roman" w:hAnsi="Times New Roman" w:cs="Times New Roman"/>
          <w:color w:val="54A021" w:themeColor="accent2"/>
        </w:rPr>
        <w:t>Digitalni alati za upravljanje turizmom</w:t>
      </w:r>
      <w:bookmarkEnd w:id="28"/>
    </w:p>
    <w:p w:rsidR="00702E3C" w:rsidRDefault="00702E3C">
      <w:pPr>
        <w:rPr>
          <w:rFonts w:ascii="Times New Roman" w:hAnsi="Times New Roman" w:cs="Times New Roman"/>
        </w:rPr>
      </w:pPr>
    </w:p>
    <w:p w:rsidR="00702E3C" w:rsidRDefault="004B1C83">
      <w:pPr>
        <w:pStyle w:val="Odlomakpopisa"/>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Turistička zajednica Dugi otok koristi osnovne digitalne kanale komunikacije (web-stranica, društvene mreže), no nema integrirani sustav za upravljanje odnosima s posjetiteljima (CRM), niti alat za analizu turističkog toka u realnom vremenu. Većina lokalnih iznajmljivača koristi komercijalne OTA platforme (Booking, Airbnb), ali ne postoji zajednički lokalni rezervacijski sustav koji bi olakšao suradnju i sinergiju između pružatelja usluga.</w:t>
      </w:r>
    </w:p>
    <w:p w:rsidR="00702E3C" w:rsidRDefault="002D0BA4">
      <w:pPr>
        <w:pStyle w:val="Odlomakpopisa"/>
        <w:spacing w:line="360" w:lineRule="auto"/>
        <w:ind w:left="360"/>
        <w:jc w:val="both"/>
        <w:rPr>
          <w:rFonts w:ascii="Times New Roman" w:hAnsi="Times New Roman" w:cs="Times New Roman"/>
          <w:sz w:val="24"/>
          <w:szCs w:val="24"/>
        </w:rPr>
      </w:pPr>
      <w:r>
        <w:rPr>
          <w:rFonts w:ascii="Times New Roman" w:hAnsi="Times New Roman" w:cs="Times New Roman"/>
          <w:sz w:val="24"/>
          <w:szCs w:val="24"/>
        </w:rPr>
        <w:pict>
          <v:rect id="_x0000_i1040"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29" w:name="_Toc217040660"/>
      <w:r>
        <w:rPr>
          <w:rFonts w:ascii="Times New Roman" w:hAnsi="Times New Roman" w:cs="Times New Roman"/>
          <w:color w:val="54A021" w:themeColor="accent2"/>
        </w:rPr>
        <w:t>Digitalna transformacija lokalne zajednice</w:t>
      </w:r>
      <w:bookmarkEnd w:id="29"/>
    </w:p>
    <w:p w:rsidR="00702E3C" w:rsidRDefault="00702E3C">
      <w:pPr>
        <w:rPr>
          <w:rFonts w:ascii="Times New Roman" w:hAnsi="Times New Roman" w:cs="Times New Roman"/>
        </w:rPr>
      </w:pPr>
    </w:p>
    <w:p w:rsidR="00702E3C" w:rsidRDefault="004B1C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 pogledu edukacije i razvoja digitalnih vještina, nema sustavnog programa edukacije za pružatelje usluga u turizmu. Većina iznajmljivača i poduzetnika koristi osnovne digitalne alate, ali razina integracije u digitalne platforme i standarde digitalnog marketinga je niska. Lokalna zajednica zaostaje u digitalnoj pismenosti, što se osobito očituje kod starijih iznajmljivača i onih koji nisu uključeni u oblike stalne edukacije.</w:t>
      </w:r>
    </w:p>
    <w:p w:rsidR="00702E3C" w:rsidRDefault="004B1C83">
      <w:pPr>
        <w:pStyle w:val="Naslov3"/>
        <w:numPr>
          <w:ilvl w:val="2"/>
          <w:numId w:val="1"/>
        </w:numPr>
        <w:rPr>
          <w:rFonts w:ascii="Times New Roman" w:hAnsi="Times New Roman" w:cs="Times New Roman"/>
          <w:color w:val="54A021" w:themeColor="accent2"/>
        </w:rPr>
      </w:pPr>
      <w:bookmarkStart w:id="30" w:name="_Toc217040661"/>
      <w:r>
        <w:rPr>
          <w:rFonts w:ascii="Times New Roman" w:hAnsi="Times New Roman" w:cs="Times New Roman"/>
          <w:color w:val="54A021" w:themeColor="accent2"/>
        </w:rPr>
        <w:t>Sigurnost i privatnost</w:t>
      </w:r>
      <w:bookmarkEnd w:id="30"/>
    </w:p>
    <w:p w:rsidR="00702E3C" w:rsidRDefault="00702E3C">
      <w:pPr>
        <w:rPr>
          <w:rFonts w:ascii="Times New Roman" w:hAnsi="Times New Roman" w:cs="Times New Roman"/>
        </w:rPr>
      </w:pPr>
    </w:p>
    <w:p w:rsidR="00702E3C" w:rsidRDefault="004B1C8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Nema javno dostupnih informacija o ulozima u kibernetičku sigurnost na razini destinacije. Privatni sektor (agencije, apartmani) uglavnom koristi osnovne alate za sigurnost i zaštitu podataka. Veći subjekti (PP Telašćica, javne ustanove) deklariraju usklađenost s GDPR regulativom, no razina transparentnosti u komunikaciji s korisnicima još uvijek nije standardizirana.</w:t>
      </w:r>
      <w:r>
        <w:rPr>
          <w:rFonts w:ascii="Times New Roman" w:hAnsi="Times New Roman" w:cs="Times New Roman"/>
        </w:rPr>
        <w:t xml:space="preserve"> </w:t>
      </w:r>
      <w:r>
        <w:rPr>
          <w:rFonts w:ascii="Times New Roman" w:hAnsi="Times New Roman" w:cs="Times New Roman"/>
          <w:sz w:val="24"/>
          <w:szCs w:val="24"/>
        </w:rPr>
        <w:t>Ne postoji lokalna politika upravljanja podacima niti mjere vezane uz zaštitu osobnih podataka korisnika. Digitalna sigurnost nije jasno definirana ni u sektoru turizma ni u javnoj upravi, što otvara prostor za ranjivosti.</w:t>
      </w:r>
    </w:p>
    <w:p w:rsidR="00702E3C" w:rsidRDefault="004B1C8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13350" cy="4396740"/>
            <wp:effectExtent l="0" t="0" r="6350" b="3810"/>
            <wp:docPr id="1409300299" name="Slika 6" descr="Slika na kojoj se prikazuje tekst, snimka zaslona, Font, dokume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00299" name="Slika 6" descr="Slika na kojoj se prikazuje tekst, snimka zaslona, Font, dokument&#10;&#10;Sadržaj generiran uz AI možda nije točan."/>
                    <pic:cNvPicPr>
                      <a:picLocks noChangeAspect="1"/>
                    </pic:cNvPicPr>
                  </pic:nvPicPr>
                  <pic:blipFill>
                    <a:blip r:embed="rId15" cstate="print">
                      <a:extLst>
                        <a:ext uri="{28A0092B-C50C-407E-A947-70E740481C1C}">
                          <a14:useLocalDpi xmlns:a14="http://schemas.microsoft.com/office/drawing/2010/main" val="0"/>
                        </a:ext>
                      </a:extLst>
                    </a:blip>
                    <a:srcRect l="16644" r="16667"/>
                    <a:stretch>
                      <a:fillRect/>
                    </a:stretch>
                  </pic:blipFill>
                  <pic:spPr>
                    <a:xfrm>
                      <a:off x="0" y="0"/>
                      <a:ext cx="5228576" cy="4410153"/>
                    </a:xfrm>
                    <a:prstGeom prst="rect">
                      <a:avLst/>
                    </a:prstGeom>
                    <a:ln>
                      <a:noFill/>
                    </a:ln>
                  </pic:spPr>
                </pic:pic>
              </a:graphicData>
            </a:graphic>
          </wp:inline>
        </w:drawing>
      </w:r>
    </w:p>
    <w:p w:rsidR="00702E3C" w:rsidRDefault="002D0BA4">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i1041"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31" w:name="_Toc217040662"/>
      <w:r>
        <w:rPr>
          <w:rFonts w:ascii="Times New Roman" w:hAnsi="Times New Roman" w:cs="Times New Roman"/>
          <w:color w:val="54A021" w:themeColor="accent2"/>
        </w:rPr>
        <w:t>Analiza stanja pristupačnosti destinacije osobama s invaliditetom</w:t>
      </w:r>
      <w:bookmarkEnd w:id="31"/>
      <w:r>
        <w:rPr>
          <w:rFonts w:ascii="Times New Roman" w:hAnsi="Times New Roman" w:cs="Times New Roman"/>
          <w:color w:val="54A021" w:themeColor="accent2"/>
        </w:rPr>
        <w:t xml:space="preserve"> </w:t>
      </w:r>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Pristupačnost turističke destinacije osobama s invaliditetom temelj je uključivog i održivog razvoja. Na području Dugog otoka, Zverinca i Lavdare primjećuju se pojedinačni pomaci prema boljoj fizičkoj dostupnosti, ali cjelovita i sustavna pristupačnost još uvijek izostaje. Turistički i javni sadržaji u pravilu nisu u potpunosti prilagođeni osobama s invaliditetom, osobito u manjim mjestima i izvan središnjih zona.</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42"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32" w:name="_Toc217040663"/>
      <w:r>
        <w:rPr>
          <w:rFonts w:ascii="Times New Roman" w:hAnsi="Times New Roman" w:cs="Times New Roman"/>
          <w:color w:val="54A021" w:themeColor="accent2"/>
        </w:rPr>
        <w:t>Fizička pristupačnost</w:t>
      </w:r>
      <w:bookmarkEnd w:id="32"/>
    </w:p>
    <w:p w:rsidR="00702E3C" w:rsidRDefault="00702E3C">
      <w:pPr>
        <w:rPr>
          <w:rFonts w:ascii="Times New Roman" w:hAnsi="Times New Roman" w:cs="Times New Roman"/>
        </w:rPr>
      </w:pPr>
    </w:p>
    <w:p w:rsidR="00702E3C" w:rsidRDefault="004B1C83">
      <w:pPr>
        <w:pStyle w:val="Odlomakpopisa"/>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Infrastruktura:</w:t>
      </w:r>
      <w:r>
        <w:rPr>
          <w:rFonts w:ascii="Times New Roman" w:hAnsi="Times New Roman" w:cs="Times New Roman"/>
          <w:sz w:val="24"/>
          <w:szCs w:val="24"/>
        </w:rPr>
        <w:t xml:space="preserve"> Većina hotela, apartmana, restorana i turističkih objekata na Dugom otoku još nema standardiziranu pristupnu infrastrukturu (rampe, dizala, sanitarne </w:t>
      </w:r>
      <w:r>
        <w:rPr>
          <w:rFonts w:ascii="Times New Roman" w:hAnsi="Times New Roman" w:cs="Times New Roman"/>
          <w:sz w:val="24"/>
          <w:szCs w:val="24"/>
        </w:rPr>
        <w:lastRenderedPageBreak/>
        <w:t>čvorove) za osobe s invaliditetom. Jedina iznimka su pojedini smještajni kapaciteti koji privatnom inicijativom nude djelomično prilagođene sadržaje.</w:t>
      </w:r>
    </w:p>
    <w:p w:rsidR="00702E3C" w:rsidRDefault="004B1C83">
      <w:pPr>
        <w:pStyle w:val="Odlomakpopisa"/>
        <w:numPr>
          <w:ilvl w:val="0"/>
          <w:numId w:val="13"/>
        </w:numPr>
        <w:spacing w:line="360" w:lineRule="auto"/>
        <w:rPr>
          <w:rFonts w:ascii="Times New Roman" w:hAnsi="Times New Roman" w:cs="Times New Roman"/>
          <w:sz w:val="24"/>
          <w:szCs w:val="24"/>
        </w:rPr>
      </w:pPr>
      <w:r>
        <w:rPr>
          <w:rFonts w:ascii="Times New Roman" w:hAnsi="Times New Roman" w:cs="Times New Roman"/>
          <w:b/>
          <w:bCs/>
          <w:sz w:val="24"/>
          <w:szCs w:val="24"/>
        </w:rPr>
        <w:t>Pristupačnost javnih prostora:</w:t>
      </w:r>
      <w:r>
        <w:rPr>
          <w:rFonts w:ascii="Times New Roman" w:hAnsi="Times New Roman" w:cs="Times New Roman"/>
          <w:sz w:val="24"/>
          <w:szCs w:val="24"/>
        </w:rPr>
        <w:t xml:space="preserve"> Trgovi, obalne šetnice i plaže (poput Sakaruna ili Telašćice) uglavnom nisu opremljeni pristupnim rampama ni podlogama pogodnima za korisnike invalidskih kolica. Ne postoje taktilne staze za osobe s oštećenjem vida ni posebno označene zone za olakšan ulaz u more.</w:t>
      </w:r>
    </w:p>
    <w:p w:rsidR="00702E3C" w:rsidRDefault="004B1C83">
      <w:pPr>
        <w:pStyle w:val="Odlomakpopisa"/>
        <w:numPr>
          <w:ilvl w:val="0"/>
          <w:numId w:val="1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Komunikacijska pristupačnost: </w:t>
      </w:r>
      <w:r>
        <w:rPr>
          <w:rFonts w:ascii="Times New Roman" w:hAnsi="Times New Roman" w:cs="Times New Roman"/>
          <w:sz w:val="24"/>
          <w:szCs w:val="24"/>
        </w:rPr>
        <w:t>Internetske stranice većine pružatelja usluga nisu optimizirane za osobe s invaliditetom. Nema verzija na Brailleovu pismu, zvučnih vodiča niti QR kodova sa sadržajem za slabovidne osobe.</w:t>
      </w:r>
    </w:p>
    <w:p w:rsidR="00702E3C" w:rsidRDefault="004B1C83">
      <w:pPr>
        <w:pStyle w:val="Odlomakpopisa"/>
        <w:numPr>
          <w:ilvl w:val="0"/>
          <w:numId w:val="13"/>
        </w:numPr>
        <w:spacing w:line="360" w:lineRule="auto"/>
        <w:rPr>
          <w:rFonts w:ascii="Times New Roman" w:hAnsi="Times New Roman" w:cs="Times New Roman"/>
          <w:sz w:val="24"/>
          <w:szCs w:val="24"/>
        </w:rPr>
      </w:pPr>
      <w:r>
        <w:rPr>
          <w:rFonts w:ascii="Times New Roman" w:hAnsi="Times New Roman" w:cs="Times New Roman"/>
          <w:b/>
          <w:bCs/>
          <w:sz w:val="24"/>
          <w:szCs w:val="24"/>
        </w:rPr>
        <w:t>Signalizacija i označavanje:</w:t>
      </w:r>
      <w:r>
        <w:rPr>
          <w:rFonts w:ascii="Times New Roman" w:hAnsi="Times New Roman" w:cs="Times New Roman"/>
          <w:sz w:val="24"/>
          <w:szCs w:val="24"/>
        </w:rPr>
        <w:t xml:space="preserve"> Turistička signalizacija i informativne ploče u pravilu nisu uvijek dvojezične, nisu izrađene u kontrastnim bojama, niti sadrže piktograme koji bi pomogli osobama s kognitivnim teškoćama.</w:t>
      </w:r>
    </w:p>
    <w:p w:rsidR="00702E3C" w:rsidRDefault="002D0BA4">
      <w:pPr>
        <w:spacing w:line="360" w:lineRule="auto"/>
        <w:ind w:left="360"/>
        <w:rPr>
          <w:rFonts w:ascii="Times New Roman" w:hAnsi="Times New Roman" w:cs="Times New Roman"/>
          <w:sz w:val="24"/>
          <w:szCs w:val="24"/>
        </w:rPr>
      </w:pPr>
      <w:r>
        <w:rPr>
          <w:rFonts w:ascii="Times New Roman" w:hAnsi="Times New Roman" w:cs="Times New Roman"/>
        </w:rPr>
        <w:pict>
          <v:rect id="_x0000_i1043"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33" w:name="_Toc217040664"/>
      <w:r>
        <w:rPr>
          <w:rFonts w:ascii="Times New Roman" w:hAnsi="Times New Roman" w:cs="Times New Roman"/>
          <w:color w:val="54A021" w:themeColor="accent2"/>
        </w:rPr>
        <w:t>Pristupačnost usluga</w:t>
      </w:r>
      <w:bookmarkEnd w:id="33"/>
    </w:p>
    <w:p w:rsidR="00702E3C" w:rsidRDefault="00702E3C">
      <w:pPr>
        <w:rPr>
          <w:rFonts w:ascii="Times New Roman" w:hAnsi="Times New Roman" w:cs="Times New Roman"/>
        </w:rPr>
      </w:pPr>
    </w:p>
    <w:p w:rsidR="00702E3C" w:rsidRDefault="004B1C83">
      <w:pPr>
        <w:pStyle w:val="Odlomakpopisa"/>
        <w:numPr>
          <w:ilvl w:val="0"/>
          <w:numId w:val="14"/>
        </w:numPr>
        <w:spacing w:line="360" w:lineRule="auto"/>
        <w:rPr>
          <w:rFonts w:ascii="Times New Roman" w:hAnsi="Times New Roman" w:cs="Times New Roman"/>
          <w:sz w:val="24"/>
          <w:szCs w:val="24"/>
        </w:rPr>
      </w:pPr>
      <w:r>
        <w:rPr>
          <w:rFonts w:ascii="Times New Roman" w:hAnsi="Times New Roman" w:cs="Times New Roman"/>
          <w:b/>
          <w:bCs/>
          <w:sz w:val="24"/>
          <w:szCs w:val="24"/>
        </w:rPr>
        <w:t>Smještajni kapaciteti:</w:t>
      </w:r>
      <w:r>
        <w:rPr>
          <w:rFonts w:ascii="Times New Roman" w:hAnsi="Times New Roman" w:cs="Times New Roman"/>
          <w:sz w:val="24"/>
          <w:szCs w:val="24"/>
        </w:rPr>
        <w:t xml:space="preserve"> Većina smještaja je u privatnom vlasništvu i nije kategorizirana prema standardima pristupačnosti. Nema podataka o broju smještajnih jedinica prilagođenih osobama s invaliditetom.</w:t>
      </w:r>
    </w:p>
    <w:p w:rsidR="00702E3C" w:rsidRDefault="004B1C83">
      <w:pPr>
        <w:pStyle w:val="Odlomakpopisa"/>
        <w:numPr>
          <w:ilvl w:val="0"/>
          <w:numId w:val="14"/>
        </w:numPr>
        <w:spacing w:line="360" w:lineRule="auto"/>
        <w:rPr>
          <w:rFonts w:ascii="Times New Roman" w:hAnsi="Times New Roman" w:cs="Times New Roman"/>
          <w:sz w:val="24"/>
          <w:szCs w:val="24"/>
        </w:rPr>
      </w:pPr>
      <w:r>
        <w:rPr>
          <w:rFonts w:ascii="Times New Roman" w:hAnsi="Times New Roman" w:cs="Times New Roman"/>
          <w:b/>
          <w:bCs/>
          <w:sz w:val="24"/>
          <w:szCs w:val="24"/>
        </w:rPr>
        <w:t>Ugostiteljski objekti:</w:t>
      </w:r>
      <w:r>
        <w:rPr>
          <w:rFonts w:ascii="Times New Roman" w:hAnsi="Times New Roman" w:cs="Times New Roman"/>
          <w:sz w:val="24"/>
          <w:szCs w:val="24"/>
        </w:rPr>
        <w:t xml:space="preserve"> Malo je restorana s pristupnim rampama, a sanitarni čvorovi u većini nisu prilagođeni. Jelovnici u većini slučajeva nisu dostupni u digitalnom ili lako čitljivom formatu.</w:t>
      </w:r>
    </w:p>
    <w:p w:rsidR="00702E3C" w:rsidRDefault="004B1C83">
      <w:pPr>
        <w:pStyle w:val="Odlomakpopisa"/>
        <w:numPr>
          <w:ilvl w:val="0"/>
          <w:numId w:val="14"/>
        </w:numPr>
        <w:spacing w:line="360" w:lineRule="auto"/>
        <w:rPr>
          <w:rFonts w:ascii="Times New Roman" w:hAnsi="Times New Roman" w:cs="Times New Roman"/>
          <w:sz w:val="24"/>
          <w:szCs w:val="24"/>
        </w:rPr>
      </w:pPr>
      <w:r>
        <w:rPr>
          <w:rFonts w:ascii="Times New Roman" w:hAnsi="Times New Roman" w:cs="Times New Roman"/>
          <w:b/>
          <w:bCs/>
          <w:sz w:val="24"/>
          <w:szCs w:val="24"/>
        </w:rPr>
        <w:t>Kulturne i rekreacijske usluge:</w:t>
      </w:r>
      <w:r>
        <w:rPr>
          <w:rFonts w:ascii="Times New Roman" w:hAnsi="Times New Roman" w:cs="Times New Roman"/>
          <w:sz w:val="24"/>
          <w:szCs w:val="24"/>
        </w:rPr>
        <w:t xml:space="preserve"> Muzejski sadržaji, interpretacijski centri i crkve uglavnom nemaju infrastrukturu ni programe prilagođene osobama s invaliditetom.</w:t>
      </w:r>
    </w:p>
    <w:p w:rsidR="00702E3C" w:rsidRDefault="004B1C83">
      <w:pPr>
        <w:pStyle w:val="Naslov3"/>
        <w:numPr>
          <w:ilvl w:val="2"/>
          <w:numId w:val="1"/>
        </w:numPr>
        <w:rPr>
          <w:rFonts w:ascii="Times New Roman" w:hAnsi="Times New Roman" w:cs="Times New Roman"/>
          <w:color w:val="54A021" w:themeColor="accent2"/>
        </w:rPr>
      </w:pPr>
      <w:bookmarkStart w:id="34" w:name="_Toc217040665"/>
      <w:r>
        <w:rPr>
          <w:rFonts w:ascii="Times New Roman" w:hAnsi="Times New Roman" w:cs="Times New Roman"/>
          <w:color w:val="54A021" w:themeColor="accent2"/>
        </w:rPr>
        <w:t>Društvena i kognitivna pristupačnost</w:t>
      </w:r>
      <w:bookmarkEnd w:id="34"/>
    </w:p>
    <w:p w:rsidR="00702E3C" w:rsidRDefault="00702E3C">
      <w:pPr>
        <w:rPr>
          <w:rFonts w:ascii="Times New Roman" w:hAnsi="Times New Roman" w:cs="Times New Roman"/>
        </w:rPr>
      </w:pPr>
    </w:p>
    <w:p w:rsidR="00702E3C" w:rsidRDefault="004B1C83">
      <w:pPr>
        <w:pStyle w:val="Odlomakpopisa"/>
        <w:numPr>
          <w:ilvl w:val="0"/>
          <w:numId w:val="15"/>
        </w:numPr>
        <w:spacing w:line="360" w:lineRule="auto"/>
        <w:rPr>
          <w:rFonts w:ascii="Times New Roman" w:hAnsi="Times New Roman" w:cs="Times New Roman"/>
          <w:sz w:val="24"/>
          <w:szCs w:val="24"/>
        </w:rPr>
      </w:pPr>
      <w:r>
        <w:rPr>
          <w:rFonts w:ascii="Times New Roman" w:hAnsi="Times New Roman" w:cs="Times New Roman"/>
          <w:b/>
          <w:bCs/>
          <w:sz w:val="24"/>
          <w:szCs w:val="24"/>
        </w:rPr>
        <w:t>Obuka osoblja</w:t>
      </w:r>
      <w:r>
        <w:rPr>
          <w:rFonts w:ascii="Times New Roman" w:hAnsi="Times New Roman" w:cs="Times New Roman"/>
          <w:sz w:val="24"/>
          <w:szCs w:val="24"/>
        </w:rPr>
        <w:t>: Lokalno turističko osoblje i zaposlenici u ugostiteljstvu rijetko su prošli edukaciju o radu s osobama s invaliditetom. Ne postoji sustavna senzibilizacija na razini destinacije.</w:t>
      </w:r>
    </w:p>
    <w:p w:rsidR="00702E3C" w:rsidRDefault="004B1C83">
      <w:pPr>
        <w:pStyle w:val="Odlomakpopisa"/>
        <w:numPr>
          <w:ilvl w:val="0"/>
          <w:numId w:val="15"/>
        </w:numPr>
        <w:spacing w:line="360" w:lineRule="auto"/>
        <w:rPr>
          <w:rFonts w:ascii="Times New Roman" w:hAnsi="Times New Roman" w:cs="Times New Roman"/>
          <w:sz w:val="24"/>
          <w:szCs w:val="24"/>
        </w:rPr>
      </w:pPr>
      <w:r>
        <w:rPr>
          <w:rFonts w:ascii="Times New Roman" w:hAnsi="Times New Roman" w:cs="Times New Roman"/>
          <w:b/>
          <w:bCs/>
          <w:sz w:val="24"/>
          <w:szCs w:val="24"/>
        </w:rPr>
        <w:t>Kulturalna osjetljivost:</w:t>
      </w:r>
      <w:r>
        <w:rPr>
          <w:rFonts w:ascii="Times New Roman" w:hAnsi="Times New Roman" w:cs="Times New Roman"/>
          <w:sz w:val="24"/>
          <w:szCs w:val="24"/>
        </w:rPr>
        <w:t xml:space="preserve"> Potrebno je dodatno raditi na podizanju svijesti i inkluzivnosti u lokalnoj zajednici, osobito u kontekstu turističkog rasta i održivosti.</w:t>
      </w:r>
    </w:p>
    <w:p w:rsidR="00702E3C" w:rsidRDefault="00702E3C">
      <w:pPr>
        <w:spacing w:line="360" w:lineRule="auto"/>
        <w:ind w:left="360"/>
        <w:jc w:val="center"/>
        <w:rPr>
          <w:rFonts w:ascii="Times New Roman" w:hAnsi="Times New Roman" w:cs="Times New Roman"/>
          <w:sz w:val="24"/>
          <w:szCs w:val="24"/>
        </w:rPr>
      </w:pPr>
    </w:p>
    <w:p w:rsidR="00702E3C" w:rsidRDefault="002D0BA4">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pict>
          <v:rect id="_x0000_i1044" style="width:0;height:1.5pt" o:hralign="center" o:hrstd="t" o:hr="t" fillcolor="#a0a0a0" stroked="f"/>
        </w:pict>
      </w:r>
    </w:p>
    <w:p w:rsidR="00702E3C" w:rsidRDefault="00702E3C">
      <w:pPr>
        <w:spacing w:line="360" w:lineRule="auto"/>
        <w:ind w:left="360"/>
        <w:jc w:val="center"/>
        <w:rPr>
          <w:rFonts w:ascii="Times New Roman" w:hAnsi="Times New Roman" w:cs="Times New Roman"/>
          <w:sz w:val="24"/>
          <w:szCs w:val="24"/>
        </w:rPr>
      </w:pPr>
    </w:p>
    <w:p w:rsidR="00702E3C" w:rsidRDefault="002D0BA4">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pict>
          <v:rect id="_x0000_i1045" style="width:0;height:1.5pt" o:hralign="center" o:hrstd="t" o:hr="t" fillcolor="#a0a0a0" stroked="f"/>
        </w:pict>
      </w:r>
      <w:r w:rsidR="004B1C83">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230505</wp:posOffset>
            </wp:positionH>
            <wp:positionV relativeFrom="paragraph">
              <wp:posOffset>1905</wp:posOffset>
            </wp:positionV>
            <wp:extent cx="5626100" cy="4984115"/>
            <wp:effectExtent l="0" t="0" r="0" b="6985"/>
            <wp:wrapTopAndBottom/>
            <wp:docPr id="2009920651" name="Slika 7" descr="Slika na kojoj se prikazuje tekst, snimka zaslona, Font,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20651" name="Slika 7" descr="Slika na kojoj se prikazuje tekst, snimka zaslona, Font, dizajn&#10;&#10;Sadržaj generiran uz AI možda nije točan."/>
                    <pic:cNvPicPr>
                      <a:picLocks noChangeAspect="1"/>
                    </pic:cNvPicPr>
                  </pic:nvPicPr>
                  <pic:blipFill>
                    <a:blip r:embed="rId16">
                      <a:extLst>
                        <a:ext uri="{28A0092B-C50C-407E-A947-70E740481C1C}">
                          <a14:useLocalDpi xmlns:a14="http://schemas.microsoft.com/office/drawing/2010/main" val="0"/>
                        </a:ext>
                      </a:extLst>
                    </a:blip>
                    <a:srcRect l="17967" r="18541"/>
                    <a:stretch>
                      <a:fillRect/>
                    </a:stretch>
                  </pic:blipFill>
                  <pic:spPr>
                    <a:xfrm>
                      <a:off x="0" y="0"/>
                      <a:ext cx="5626100" cy="4984373"/>
                    </a:xfrm>
                    <a:prstGeom prst="rect">
                      <a:avLst/>
                    </a:prstGeom>
                    <a:ln>
                      <a:noFill/>
                    </a:ln>
                  </pic:spPr>
                </pic:pic>
              </a:graphicData>
            </a:graphic>
          </wp:anchor>
        </w:drawing>
      </w:r>
    </w:p>
    <w:p w:rsidR="00702E3C" w:rsidRDefault="004B1C83">
      <w:pPr>
        <w:pStyle w:val="Naslov2"/>
        <w:numPr>
          <w:ilvl w:val="1"/>
          <w:numId w:val="1"/>
        </w:numPr>
        <w:rPr>
          <w:rFonts w:ascii="Times New Roman" w:hAnsi="Times New Roman" w:cs="Times New Roman"/>
          <w:color w:val="54A021" w:themeColor="accent2"/>
        </w:rPr>
      </w:pPr>
      <w:bookmarkStart w:id="35" w:name="_Toc217040666"/>
      <w:r>
        <w:rPr>
          <w:rFonts w:ascii="Times New Roman" w:hAnsi="Times New Roman" w:cs="Times New Roman"/>
          <w:color w:val="54A021" w:themeColor="accent2"/>
        </w:rPr>
        <w:t>Analiza stanja organiziranosti i dostupnosti usluga u destinaciji</w:t>
      </w:r>
      <w:bookmarkEnd w:id="35"/>
      <w:r>
        <w:rPr>
          <w:rFonts w:ascii="Times New Roman" w:hAnsi="Times New Roman" w:cs="Times New Roman"/>
          <w:color w:val="54A021" w:themeColor="accent2"/>
        </w:rPr>
        <w:t xml:space="preserve"> </w:t>
      </w:r>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Usluge koje se pružaju na području Dugog otoka, Zverinca i Lavdare prvenstveno su namijenjene lokalnom stanovništvu, no tijekom turističke sezone mnoge od njih prilagođavaju svoje poslovanje potrebama posjetitelja. Razina dostupnosti i kvaliteta tih usluga izravno utječu na ukupno turističko iskustvo, ali i na kvalitetu života lokalne zajednice.</w:t>
      </w:r>
    </w:p>
    <w:p w:rsidR="00702E3C" w:rsidRDefault="004B1C83">
      <w:pPr>
        <w:pStyle w:val="Naslov3"/>
        <w:numPr>
          <w:ilvl w:val="2"/>
          <w:numId w:val="1"/>
        </w:numPr>
        <w:rPr>
          <w:rFonts w:ascii="Times New Roman" w:hAnsi="Times New Roman" w:cs="Times New Roman"/>
          <w:color w:val="54A021" w:themeColor="accent2"/>
        </w:rPr>
      </w:pPr>
      <w:bookmarkStart w:id="36" w:name="_Toc217040667"/>
      <w:r>
        <w:rPr>
          <w:rFonts w:ascii="Times New Roman" w:hAnsi="Times New Roman" w:cs="Times New Roman"/>
          <w:color w:val="54A021" w:themeColor="accent2"/>
        </w:rPr>
        <w:t>Zdravstvena zaštita</w:t>
      </w:r>
      <w:bookmarkEnd w:id="36"/>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Dugom otoku djeluje ispostava Doma zdravlja Zadar u Salima, koja pruža osnovne zdravstvene usluge (obiteljska medicina, laboratorij, hitna pomoć). Ljekarna se također nalazi </w:t>
      </w:r>
      <w:r>
        <w:rPr>
          <w:rFonts w:ascii="Times New Roman" w:hAnsi="Times New Roman" w:cs="Times New Roman"/>
          <w:sz w:val="24"/>
          <w:szCs w:val="24"/>
        </w:rPr>
        <w:lastRenderedPageBreak/>
        <w:t>u Salima. Međutim, specijalističke preglede i bolničko liječenje stanovnici i turisti ostvaruju u Zadru, do kojeg se dolazi trajektnom linijom iz luke Brbinj. Tijekom ljetnih mjeseci dodatni pritisak na ove usluge ukazuje na potrebu privremenog pojačanja medicinskog osoblja i bolju organizaciju hitnog prijevoza, te turističku ambulantu.</w:t>
      </w:r>
    </w:p>
    <w:p w:rsidR="00702E3C" w:rsidRDefault="004B1C83">
      <w:pPr>
        <w:pStyle w:val="Naslov3"/>
        <w:numPr>
          <w:ilvl w:val="2"/>
          <w:numId w:val="1"/>
        </w:numPr>
        <w:rPr>
          <w:rFonts w:ascii="Times New Roman" w:hAnsi="Times New Roman" w:cs="Times New Roman"/>
          <w:color w:val="54A021" w:themeColor="accent2"/>
        </w:rPr>
      </w:pPr>
      <w:bookmarkStart w:id="37" w:name="_Toc217040668"/>
      <w:r>
        <w:rPr>
          <w:rFonts w:ascii="Times New Roman" w:hAnsi="Times New Roman" w:cs="Times New Roman"/>
          <w:color w:val="54A021" w:themeColor="accent2"/>
        </w:rPr>
        <w:t>Javne i žurne službe</w:t>
      </w:r>
      <w:bookmarkEnd w:id="37"/>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 otoku djeluje ispostava Policijske postaje te dobrovoljna vatrogasna društva (DVD Sali i Božava) koja imaju ključnu ulogu u zaštiti od požara, osobito tijekom sušnih ljetnih mjeseci. Služba traganja i spašavanja na moru temelji se na suradnji s Lučkom kapetanijom Zadar i lokalnim brodarima, no nedostaje stalno prisutna i opremljena spasilačka služba.</w:t>
      </w:r>
    </w:p>
    <w:p w:rsidR="00702E3C" w:rsidRDefault="004B1C83">
      <w:pPr>
        <w:pStyle w:val="Naslov3"/>
        <w:numPr>
          <w:ilvl w:val="2"/>
          <w:numId w:val="1"/>
        </w:numPr>
        <w:rPr>
          <w:rFonts w:ascii="Times New Roman" w:hAnsi="Times New Roman" w:cs="Times New Roman"/>
          <w:color w:val="54A021" w:themeColor="accent2"/>
        </w:rPr>
      </w:pPr>
      <w:bookmarkStart w:id="38" w:name="_Toc217040669"/>
      <w:r>
        <w:rPr>
          <w:rFonts w:ascii="Times New Roman" w:hAnsi="Times New Roman" w:cs="Times New Roman"/>
          <w:color w:val="54A021" w:themeColor="accent2"/>
        </w:rPr>
        <w:t>Obrazovanje, kultura i sport</w:t>
      </w:r>
      <w:bookmarkEnd w:id="38"/>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 Dugom otoku djeluju osnovne škole u Salima i Božavi koje se ljeti uključuju u edukativne i kulturne programe za turiste. Kulturna ponuda temelji se na djelovanju lokalnih udruga i manifestacija (npr. Saljske užance), dok sportska infrastruktura uključuje nekoliko igrališta (nogomet, košarka, boćališta) raspoređenih u većim naseljima. Nedostaje višenamjenski zatvoreni sportski objekt.</w:t>
      </w:r>
    </w:p>
    <w:p w:rsidR="00702E3C" w:rsidRDefault="004B1C83">
      <w:pPr>
        <w:pStyle w:val="Naslov3"/>
        <w:numPr>
          <w:ilvl w:val="2"/>
          <w:numId w:val="1"/>
        </w:numPr>
        <w:rPr>
          <w:rFonts w:ascii="Times New Roman" w:hAnsi="Times New Roman" w:cs="Times New Roman"/>
          <w:color w:val="54A021" w:themeColor="accent2"/>
        </w:rPr>
      </w:pPr>
      <w:bookmarkStart w:id="39" w:name="_Toc217040670"/>
      <w:r>
        <w:rPr>
          <w:rFonts w:ascii="Times New Roman" w:hAnsi="Times New Roman" w:cs="Times New Roman"/>
          <w:color w:val="54A021" w:themeColor="accent2"/>
        </w:rPr>
        <w:t>Vjerske zajednice</w:t>
      </w:r>
      <w:bookmarkEnd w:id="39"/>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Katolička crkva ima kontinuiranu prisutnost, s redovitim misnim slavljima u župnim crkvama i kapelama u gotovo svim naseljima. Crkveni objekti često su i sastavni dio kulturne baštine te predstavljaju atraktivne lokalitete za posjetitelje.</w:t>
      </w:r>
    </w:p>
    <w:p w:rsidR="00702E3C" w:rsidRDefault="004B1C83">
      <w:pPr>
        <w:pStyle w:val="Naslov3"/>
        <w:numPr>
          <w:ilvl w:val="2"/>
          <w:numId w:val="1"/>
        </w:numPr>
        <w:rPr>
          <w:rFonts w:ascii="Times New Roman" w:hAnsi="Times New Roman" w:cs="Times New Roman"/>
          <w:color w:val="54A021" w:themeColor="accent2"/>
        </w:rPr>
      </w:pPr>
      <w:bookmarkStart w:id="40" w:name="_Toc217040671"/>
      <w:r>
        <w:rPr>
          <w:rFonts w:ascii="Times New Roman" w:hAnsi="Times New Roman" w:cs="Times New Roman"/>
          <w:color w:val="54A021" w:themeColor="accent2"/>
        </w:rPr>
        <w:t>Financijske, platne i poštanske usluge</w:t>
      </w:r>
      <w:bookmarkEnd w:id="40"/>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Banka na otoku ne postoji, no nekoliko poštanskih ureda (Sali, Božava, Veli Rat) pruža osnovne financijske usluge. Bankomati su dostupni u većim mjestima, ali njihova funkcionalnost ljeti je često ograničena zbog preopterećenja. Kartično plaćanje dostupno je u većini ugostiteljskih i smještajnih objekata, ali ne i u svim trgovinama i manjim uslugama.</w:t>
      </w:r>
    </w:p>
    <w:p w:rsidR="00702E3C" w:rsidRDefault="00702E3C">
      <w:pPr>
        <w:spacing w:line="360" w:lineRule="auto"/>
        <w:jc w:val="both"/>
        <w:rPr>
          <w:rFonts w:ascii="Times New Roman" w:hAnsi="Times New Roman" w:cs="Times New Roman"/>
          <w:sz w:val="24"/>
          <w:szCs w:val="24"/>
        </w:rPr>
      </w:pPr>
    </w:p>
    <w:p w:rsidR="006B12FC" w:rsidRDefault="006B12FC">
      <w:pPr>
        <w:spacing w:line="360" w:lineRule="auto"/>
        <w:jc w:val="both"/>
        <w:rPr>
          <w:rFonts w:ascii="Times New Roman" w:hAnsi="Times New Roman" w:cs="Times New Roman"/>
          <w:sz w:val="24"/>
          <w:szCs w:val="24"/>
        </w:rPr>
      </w:pPr>
    </w:p>
    <w:p w:rsidR="00702E3C" w:rsidRDefault="004B1C83">
      <w:pPr>
        <w:pStyle w:val="Naslov3"/>
        <w:numPr>
          <w:ilvl w:val="2"/>
          <w:numId w:val="1"/>
        </w:numPr>
        <w:rPr>
          <w:rFonts w:ascii="Times New Roman" w:hAnsi="Times New Roman" w:cs="Times New Roman"/>
          <w:color w:val="54A021" w:themeColor="accent2"/>
        </w:rPr>
      </w:pPr>
      <w:bookmarkStart w:id="41" w:name="_Toc217040672"/>
      <w:r>
        <w:rPr>
          <w:rFonts w:ascii="Times New Roman" w:hAnsi="Times New Roman" w:cs="Times New Roman"/>
          <w:color w:val="54A021" w:themeColor="accent2"/>
        </w:rPr>
        <w:lastRenderedPageBreak/>
        <w:t>Uslužne djelatnosti i opskrba</w:t>
      </w:r>
      <w:bookmarkEnd w:id="41"/>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 otoku djeluju trgovine prehrambenim i tehničkim proizvodima, restorani, kafići, ribarnice, pekare, frizerski i kozmetički saloni, kao i manji automehaničarski i servisni obrti. Opskrba robom odvija se putem trajekta i teretnih brodova, no često je ovisna o vremenskim uvjetima. Ljeti dolazi do nestašica pojedinih proizvoda, što zahtijeva bolju logističku pripremu i planiranje zaliha.</w:t>
      </w:r>
    </w:p>
    <w:p w:rsidR="00702E3C" w:rsidRDefault="004B1C83">
      <w:pPr>
        <w:pStyle w:val="Naslov3"/>
        <w:numPr>
          <w:ilvl w:val="2"/>
          <w:numId w:val="1"/>
        </w:numPr>
        <w:rPr>
          <w:rFonts w:ascii="Times New Roman" w:hAnsi="Times New Roman" w:cs="Times New Roman"/>
          <w:color w:val="54A021" w:themeColor="accent2"/>
        </w:rPr>
      </w:pPr>
      <w:bookmarkStart w:id="42" w:name="_Toc217040673"/>
      <w:r>
        <w:rPr>
          <w:rFonts w:ascii="Times New Roman" w:hAnsi="Times New Roman" w:cs="Times New Roman"/>
          <w:color w:val="54A021" w:themeColor="accent2"/>
        </w:rPr>
        <w:t>Javni prostori i uređenost</w:t>
      </w:r>
      <w:bookmarkEnd w:id="42"/>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235585</wp:posOffset>
            </wp:positionH>
            <wp:positionV relativeFrom="paragraph">
              <wp:posOffset>1569720</wp:posOffset>
            </wp:positionV>
            <wp:extent cx="5469255" cy="4451350"/>
            <wp:effectExtent l="0" t="0" r="0" b="6350"/>
            <wp:wrapTopAndBottom/>
            <wp:docPr id="1089276319" name="Slika 9" descr="Slika na kojoj se prikazuje tekst, snimka zaslona, Font,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6319" name="Slika 9" descr="Slika na kojoj se prikazuje tekst, snimka zaslona, Font, broj&#10;&#10;Sadržaj generiran uz AI možda nije točan."/>
                    <pic:cNvPicPr>
                      <a:picLocks noChangeAspect="1"/>
                    </pic:cNvPicPr>
                  </pic:nvPicPr>
                  <pic:blipFill>
                    <a:blip r:embed="rId17" cstate="print">
                      <a:extLst>
                        <a:ext uri="{28A0092B-C50C-407E-A947-70E740481C1C}">
                          <a14:useLocalDpi xmlns:a14="http://schemas.microsoft.com/office/drawing/2010/main" val="0"/>
                        </a:ext>
                      </a:extLst>
                    </a:blip>
                    <a:srcRect l="15321" r="15565"/>
                    <a:stretch>
                      <a:fillRect/>
                    </a:stretch>
                  </pic:blipFill>
                  <pic:spPr>
                    <a:xfrm>
                      <a:off x="0" y="0"/>
                      <a:ext cx="5469255" cy="4451350"/>
                    </a:xfrm>
                    <a:prstGeom prst="rect">
                      <a:avLst/>
                    </a:prstGeom>
                    <a:ln>
                      <a:noFill/>
                    </a:ln>
                  </pic:spPr>
                </pic:pic>
              </a:graphicData>
            </a:graphic>
          </wp:anchor>
        </w:drawing>
      </w:r>
      <w:r>
        <w:rPr>
          <w:rFonts w:ascii="Times New Roman" w:hAnsi="Times New Roman" w:cs="Times New Roman"/>
          <w:sz w:val="24"/>
          <w:szCs w:val="24"/>
        </w:rPr>
        <w:t>Većina naselja na Dugom otoku ima osnovnu infrastrukturu javne rasvjete, dječjih igrališta, klupa i šetnica, no razina održavanja i uređenosti značajno varira. Nedostaju zone za odmor u sjeni, kvalitetno opremljeni sanitarni čvorovi na turističkim točkama i bolja signalizacija. Vizualni identitet prostora često narušavaju improvizirana rješenja i zapušteni objekti.</w:t>
      </w:r>
    </w:p>
    <w:p w:rsidR="00702E3C" w:rsidRDefault="002D0BA4">
      <w:pPr>
        <w:spacing w:line="360" w:lineRule="auto"/>
        <w:jc w:val="center"/>
        <w:rPr>
          <w:rFonts w:ascii="Times New Roman" w:hAnsi="Times New Roman" w:cs="Times New Roman"/>
          <w:sz w:val="24"/>
          <w:szCs w:val="24"/>
        </w:rPr>
      </w:pPr>
      <w:r>
        <w:rPr>
          <w:rFonts w:ascii="Times New Roman" w:hAnsi="Times New Roman" w:cs="Times New Roman"/>
          <w:sz w:val="24"/>
          <w:szCs w:val="24"/>
        </w:rPr>
        <w:pict>
          <v:rect id="_x0000_i1046"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43" w:name="_Toc217040674"/>
      <w:r>
        <w:rPr>
          <w:rFonts w:ascii="Times New Roman" w:hAnsi="Times New Roman" w:cs="Times New Roman"/>
          <w:color w:val="54A021" w:themeColor="accent2"/>
        </w:rPr>
        <w:lastRenderedPageBreak/>
        <w:t>Analiza stanja i potreba ljudskih potencijala</w:t>
      </w:r>
      <w:bookmarkEnd w:id="43"/>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destinacija Dugi otok – Zverinac – Lavdara suočava se s nizom izazova povezanih s dostupnošću i kvalitetom ljudskih potencijala, osobito u kontekstu sezonalnosti i specifičnih potreba sektora turizma i ugostiteljstva. Iako postoji stabilna jezgra zaposlenih lokalnih stanovnika, većina poduzetnika se u ljetnim mjesecima suočava s nedostatkom kvalificirane radne snage.</w:t>
      </w:r>
    </w:p>
    <w:p w:rsidR="00702E3C" w:rsidRDefault="004B1C83">
      <w:pPr>
        <w:pStyle w:val="Naslov3"/>
        <w:numPr>
          <w:ilvl w:val="2"/>
          <w:numId w:val="1"/>
        </w:numPr>
        <w:rPr>
          <w:rFonts w:ascii="Times New Roman" w:hAnsi="Times New Roman" w:cs="Times New Roman"/>
          <w:color w:val="54A021" w:themeColor="accent2"/>
        </w:rPr>
      </w:pPr>
      <w:bookmarkStart w:id="44" w:name="_Toc217040675"/>
      <w:r>
        <w:rPr>
          <w:rFonts w:ascii="Times New Roman" w:hAnsi="Times New Roman" w:cs="Times New Roman"/>
          <w:color w:val="54A021" w:themeColor="accent2"/>
        </w:rPr>
        <w:t>Istraživanje potreba poslodavaca u turizmu i ugostiteljstvu</w:t>
      </w:r>
      <w:bookmarkEnd w:id="44"/>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Poslodavci ističu potrebu za specijaliziranim zanimanjima kao što su kuhari, konobari, recepcioneri, vodiči te osoblje s poznavanjem stranih jezika i digitalnih alata. Izraženi su problemi s pronalaskom radnika s odgovarajućim vještinama i radnim iskustvom, kao i niska motivacija za rad u sektoru zbog sezonskog karaktera posla i stambenih izazova za sezonske radnike.</w:t>
      </w:r>
    </w:p>
    <w:p w:rsidR="00702E3C" w:rsidRDefault="004B1C83">
      <w:pPr>
        <w:pStyle w:val="Naslov3"/>
        <w:numPr>
          <w:ilvl w:val="2"/>
          <w:numId w:val="1"/>
        </w:numPr>
        <w:rPr>
          <w:rFonts w:ascii="Times New Roman" w:hAnsi="Times New Roman" w:cs="Times New Roman"/>
          <w:color w:val="54A021" w:themeColor="accent2"/>
        </w:rPr>
      </w:pPr>
      <w:bookmarkStart w:id="45" w:name="_Toc217040676"/>
      <w:r>
        <w:rPr>
          <w:rFonts w:ascii="Times New Roman" w:hAnsi="Times New Roman" w:cs="Times New Roman"/>
          <w:color w:val="54A021" w:themeColor="accent2"/>
        </w:rPr>
        <w:t>Procjena sezonalnosti i utjecaja na radnu snagu</w:t>
      </w:r>
      <w:bookmarkEnd w:id="45"/>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Sezonalnost turizma dodatno produbljuje manjak radne snage, jer većina zaposlenika dolazi samo privremeno. To utječe na kvalitetu usluge i opterećenje stalno zaposlenog osoblja.</w:t>
      </w:r>
    </w:p>
    <w:p w:rsidR="00702E3C" w:rsidRDefault="004B1C83">
      <w:pPr>
        <w:pStyle w:val="Naslov3"/>
        <w:numPr>
          <w:ilvl w:val="2"/>
          <w:numId w:val="1"/>
        </w:numPr>
        <w:rPr>
          <w:rFonts w:ascii="Times New Roman" w:hAnsi="Times New Roman" w:cs="Times New Roman"/>
          <w:color w:val="54A021" w:themeColor="accent2"/>
        </w:rPr>
      </w:pPr>
      <w:bookmarkStart w:id="46" w:name="_Toc217040677"/>
      <w:r>
        <w:rPr>
          <w:rFonts w:ascii="Times New Roman" w:hAnsi="Times New Roman" w:cs="Times New Roman"/>
          <w:color w:val="54A021" w:themeColor="accent2"/>
        </w:rPr>
        <w:t>Potrebe za razvojem radne snage i obrazovnih programa</w:t>
      </w:r>
      <w:bookmarkEnd w:id="46"/>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S obzirom na nedostatnu lokalnu obrazovnu ponudu, važno je surađivati s regionalnim centrima kompetentnosti u turizmu i ugostiteljstvu, kao i sa srednjim školama i fakultetima kako bi se razvili obrazovni programi u skladu s potrebama tržišta. Poseban naglasak treba staviti na digitalne vještine, održivost, komunikaciju i strane jezike.</w:t>
      </w:r>
    </w:p>
    <w:p w:rsidR="00702E3C" w:rsidRDefault="004B1C83">
      <w:pPr>
        <w:pStyle w:val="Naslov3"/>
        <w:numPr>
          <w:ilvl w:val="2"/>
          <w:numId w:val="1"/>
        </w:numPr>
        <w:rPr>
          <w:rFonts w:ascii="Times New Roman" w:hAnsi="Times New Roman" w:cs="Times New Roman"/>
          <w:color w:val="54A021" w:themeColor="accent2"/>
        </w:rPr>
      </w:pPr>
      <w:bookmarkStart w:id="47" w:name="_Toc217040678"/>
      <w:r>
        <w:rPr>
          <w:rFonts w:ascii="Times New Roman" w:hAnsi="Times New Roman" w:cs="Times New Roman"/>
          <w:color w:val="54A021" w:themeColor="accent2"/>
        </w:rPr>
        <w:t>Mjere za privlačenje i zadržavanje kadra</w:t>
      </w:r>
      <w:bookmarkEnd w:id="47"/>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Preporuča se razvoj programa za privlačenje mladih kroz prezentacije u školama, stipendije, stručne prakse, mentorstva te stvaranje boljih uvjeta rada i smještaja. Turistička zajednica može igrati ključnu ulogu kao poveznica između obrazovnog sektora i poslodavaca, ali i kao inicijator projekata koji promoviraju turistička zanimanja.</w:t>
      </w:r>
    </w:p>
    <w:p w:rsidR="00702E3C" w:rsidRDefault="004B1C83">
      <w:pPr>
        <w:pStyle w:val="Naslov3"/>
        <w:numPr>
          <w:ilvl w:val="2"/>
          <w:numId w:val="1"/>
        </w:numPr>
        <w:rPr>
          <w:rFonts w:ascii="Times New Roman" w:hAnsi="Times New Roman" w:cs="Times New Roman"/>
          <w:color w:val="54A021" w:themeColor="accent2"/>
        </w:rPr>
      </w:pPr>
      <w:bookmarkStart w:id="48" w:name="_Toc217040679"/>
      <w:r>
        <w:rPr>
          <w:rFonts w:ascii="Times New Roman" w:hAnsi="Times New Roman" w:cs="Times New Roman"/>
          <w:color w:val="54A021" w:themeColor="accent2"/>
        </w:rPr>
        <w:lastRenderedPageBreak/>
        <w:t>Analiza kadrova u turističkim zajednicama</w:t>
      </w:r>
      <w:bookmarkEnd w:id="48"/>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Analizom unutarnjih kapaciteta TZO-a utvrđene su potrebe za dodatnim kadrovima, osobito u području promocije, digitalnog marketinga i upravljanja projektima. Predlaže se uspostava baze kandidata, godišnje planiranje zapošljavanja i razvoj sustava za kontinuirano usavršavanje postojećih zaposlenika.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1905</wp:posOffset>
            </wp:positionH>
            <wp:positionV relativeFrom="paragraph">
              <wp:posOffset>1905</wp:posOffset>
            </wp:positionV>
            <wp:extent cx="5624830" cy="4832350"/>
            <wp:effectExtent l="0" t="0" r="0" b="6350"/>
            <wp:wrapTopAndBottom/>
            <wp:docPr id="2117647586" name="Slika 10" descr="Slika na kojoj se prikazuje tekst, snimka zaslona, Font, dokume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47586" name="Slika 10" descr="Slika na kojoj se prikazuje tekst, snimka zaslona, Font, dokument&#10;&#10;Sadržaj generiran uz AI možda nije točan."/>
                    <pic:cNvPicPr>
                      <a:picLocks noChangeAspect="1"/>
                    </pic:cNvPicPr>
                  </pic:nvPicPr>
                  <pic:blipFill>
                    <a:blip r:embed="rId18">
                      <a:extLst>
                        <a:ext uri="{28A0092B-C50C-407E-A947-70E740481C1C}">
                          <a14:useLocalDpi xmlns:a14="http://schemas.microsoft.com/office/drawing/2010/main" val="0"/>
                        </a:ext>
                      </a:extLst>
                    </a:blip>
                    <a:srcRect l="17417" r="17108"/>
                    <a:stretch>
                      <a:fillRect/>
                    </a:stretch>
                  </pic:blipFill>
                  <pic:spPr>
                    <a:xfrm>
                      <a:off x="0" y="0"/>
                      <a:ext cx="5624830" cy="4832350"/>
                    </a:xfrm>
                    <a:prstGeom prst="rect">
                      <a:avLst/>
                    </a:prstGeom>
                    <a:ln>
                      <a:noFill/>
                    </a:ln>
                  </pic:spPr>
                </pic:pic>
              </a:graphicData>
            </a:graphic>
          </wp:anchor>
        </w:drawing>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47"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49" w:name="_Toc217040680"/>
      <w:r>
        <w:rPr>
          <w:rFonts w:ascii="Times New Roman" w:hAnsi="Times New Roman" w:cs="Times New Roman"/>
          <w:color w:val="54A021" w:themeColor="accent2"/>
        </w:rPr>
        <w:t>Analiza komunikacijskih aktivnosti</w:t>
      </w:r>
      <w:bookmarkEnd w:id="49"/>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zajednica Dugi otok aktivno koristi niz komunikacijskih kanala u promociji destinacije, ali postoji prostor za jačanje integriranog pristupa, koordinaciju poruka i sustavnije pozicioniranje na regionalnoj i nacionalnoj razini.</w:t>
      </w:r>
    </w:p>
    <w:p w:rsidR="00702E3C" w:rsidRDefault="004B1C83">
      <w:pPr>
        <w:pStyle w:val="Naslov3"/>
        <w:numPr>
          <w:ilvl w:val="2"/>
          <w:numId w:val="1"/>
        </w:numPr>
        <w:rPr>
          <w:rFonts w:ascii="Times New Roman" w:hAnsi="Times New Roman" w:cs="Times New Roman"/>
          <w:color w:val="54A021" w:themeColor="accent2"/>
        </w:rPr>
      </w:pPr>
      <w:bookmarkStart w:id="50" w:name="_Toc217040681"/>
      <w:r>
        <w:rPr>
          <w:rFonts w:ascii="Times New Roman" w:hAnsi="Times New Roman" w:cs="Times New Roman"/>
          <w:color w:val="54A021" w:themeColor="accent2"/>
        </w:rPr>
        <w:lastRenderedPageBreak/>
        <w:t>Korištenje komunikacijskih kanala</w:t>
      </w:r>
      <w:bookmarkEnd w:id="50"/>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Turistička zajednica koristi službenu web stranicu </w:t>
      </w:r>
      <w:hyperlink r:id="rId19" w:history="1">
        <w:r>
          <w:rPr>
            <w:rStyle w:val="Hiperveza"/>
            <w:rFonts w:ascii="Times New Roman" w:hAnsi="Times New Roman" w:cs="Times New Roman"/>
            <w:color w:val="54A021" w:themeColor="accent2"/>
            <w:sz w:val="24"/>
            <w:szCs w:val="24"/>
          </w:rPr>
          <w:t>www.dugiotok.hr</w:t>
        </w:r>
      </w:hyperlink>
      <w:r>
        <w:rPr>
          <w:rFonts w:ascii="Times New Roman" w:hAnsi="Times New Roman" w:cs="Times New Roman"/>
          <w:sz w:val="24"/>
          <w:szCs w:val="24"/>
        </w:rPr>
        <w:t xml:space="preserve">  kao glavni izvor informacija. Sadržaj je dostupan na više jezika, obuhvaća osnovne informacije o atrakcijama, događanjima i smještaju. Također su aktivni profili na društvenim mrežama, posebice na Facebooku i Instagramu, koji redovito objavljuju promotivne sadržaje, vizuale i informacije za turiste. Ipak, razina povezanosti između online i offline kanala nije potpuno optimizirana.</w:t>
      </w:r>
    </w:p>
    <w:p w:rsidR="00702E3C" w:rsidRDefault="004B1C83">
      <w:pPr>
        <w:pStyle w:val="Naslov3"/>
        <w:numPr>
          <w:ilvl w:val="2"/>
          <w:numId w:val="1"/>
        </w:numPr>
        <w:rPr>
          <w:rFonts w:ascii="Times New Roman" w:hAnsi="Times New Roman" w:cs="Times New Roman"/>
          <w:color w:val="54A021" w:themeColor="accent2"/>
        </w:rPr>
      </w:pPr>
      <w:bookmarkStart w:id="51" w:name="_Toc217040682"/>
      <w:r>
        <w:rPr>
          <w:rFonts w:ascii="Times New Roman" w:hAnsi="Times New Roman" w:cs="Times New Roman"/>
          <w:color w:val="54A021" w:themeColor="accent2"/>
        </w:rPr>
        <w:t>Digitalno prisustvo</w:t>
      </w:r>
      <w:bookmarkEnd w:id="51"/>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 društvenim mrežama ostvaruje se relativno stabilan angažman, ali postoji potencijal za jačanje dvosmjerne komunikacije i ciljano oglašavanje putem digitalnih alata (Facebook Ads, Google Ads), osobito u predsezoni i posezoni. SEO optimizacija i dodatni sadržaji na web stranici mogli bi povećati organski doseg i zadržavanje korisnika.</w:t>
      </w:r>
    </w:p>
    <w:p w:rsidR="00702E3C" w:rsidRDefault="004B1C83">
      <w:pPr>
        <w:pStyle w:val="Naslov3"/>
        <w:numPr>
          <w:ilvl w:val="2"/>
          <w:numId w:val="1"/>
        </w:numPr>
        <w:rPr>
          <w:rFonts w:ascii="Times New Roman" w:hAnsi="Times New Roman" w:cs="Times New Roman"/>
          <w:color w:val="54A021" w:themeColor="accent2"/>
        </w:rPr>
      </w:pPr>
      <w:bookmarkStart w:id="52" w:name="_Toc217040683"/>
      <w:r>
        <w:rPr>
          <w:rFonts w:ascii="Times New Roman" w:hAnsi="Times New Roman" w:cs="Times New Roman"/>
          <w:color w:val="54A021" w:themeColor="accent2"/>
        </w:rPr>
        <w:t>Offline promotivne aktivnosti</w:t>
      </w:r>
      <w:bookmarkEnd w:id="52"/>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Tiskane brošure, karte i letci dostupni su u info punktovima i smještajnim objektima, ali njihov opseg i ažuriranost variraju. U suradnji s Parkom prirode Telašćica izrađuju se tematski promotivni materijali (npr. o pješačkim stazama), no nedostaje objedinjeni tiskani vodič za cijelu destinaciju. Nastupi na turističkim sajmovima odvijaju se kroz koordinaciju sa TZ Zadarske županije i HTZ-om, ali uz ograničen vlastiti promotivni kapacitet.</w:t>
      </w:r>
    </w:p>
    <w:p w:rsidR="00702E3C" w:rsidRDefault="004B1C83">
      <w:pPr>
        <w:pStyle w:val="Naslov3"/>
        <w:numPr>
          <w:ilvl w:val="2"/>
          <w:numId w:val="1"/>
        </w:numPr>
        <w:rPr>
          <w:rFonts w:ascii="Times New Roman" w:hAnsi="Times New Roman" w:cs="Times New Roman"/>
          <w:color w:val="54A021" w:themeColor="accent2"/>
        </w:rPr>
      </w:pPr>
      <w:bookmarkStart w:id="53" w:name="_Toc217040684"/>
      <w:r>
        <w:rPr>
          <w:rFonts w:ascii="Times New Roman" w:hAnsi="Times New Roman" w:cs="Times New Roman"/>
          <w:color w:val="54A021" w:themeColor="accent2"/>
        </w:rPr>
        <w:t>Suradnje s trećim stranama</w:t>
      </w:r>
      <w:bookmarkEnd w:id="53"/>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Suradnja s domaćim i stranim turističkim agencijama (npr. Adamo Travel) prisutna je, ali bez zajedničkih promotivnih kampanja. Medijska vidljivost ostvaruje se povremeno kroz objave u nacionalnim medijima, dok se suradnja s influenserima još uvijek odvija ad hoc, bez definiranih ciljeva i kriterija.</w:t>
      </w:r>
    </w:p>
    <w:p w:rsidR="00702E3C" w:rsidRDefault="004B1C83">
      <w:pPr>
        <w:pStyle w:val="Naslov3"/>
        <w:numPr>
          <w:ilvl w:val="2"/>
          <w:numId w:val="1"/>
        </w:numPr>
        <w:rPr>
          <w:rFonts w:ascii="Times New Roman" w:hAnsi="Times New Roman" w:cs="Times New Roman"/>
          <w:color w:val="54A021" w:themeColor="accent2"/>
        </w:rPr>
      </w:pPr>
      <w:bookmarkStart w:id="54" w:name="_Toc217040685"/>
      <w:r>
        <w:rPr>
          <w:rFonts w:ascii="Times New Roman" w:hAnsi="Times New Roman" w:cs="Times New Roman"/>
          <w:color w:val="54A021" w:themeColor="accent2"/>
        </w:rPr>
        <w:t>Prikupljanje i distribucija informacija</w:t>
      </w:r>
      <w:bookmarkEnd w:id="54"/>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Informacije za turiste prikupljaju se putem info punkta u Salima, digitalnih kanala i kroz posredovanje smještajnih kapaciteta. No nedostaje centralizirani sustav za evaluaciju učinkovitosti komunikacije (npr. sustav za povratne informacije, analiza ponašanja korisnika web stranice i društvenih mreža).</w:t>
      </w:r>
    </w:p>
    <w:p w:rsidR="00702E3C" w:rsidRDefault="004B1C83">
      <w:pPr>
        <w:pStyle w:val="Naslov3"/>
        <w:numPr>
          <w:ilvl w:val="2"/>
          <w:numId w:val="1"/>
        </w:numPr>
        <w:rPr>
          <w:rFonts w:ascii="Times New Roman" w:hAnsi="Times New Roman" w:cs="Times New Roman"/>
          <w:color w:val="54A021" w:themeColor="accent2"/>
        </w:rPr>
      </w:pPr>
      <w:bookmarkStart w:id="55" w:name="_Toc217040686"/>
      <w:r>
        <w:rPr>
          <w:rFonts w:ascii="Times New Roman" w:hAnsi="Times New Roman" w:cs="Times New Roman"/>
          <w:color w:val="54A021" w:themeColor="accent2"/>
        </w:rPr>
        <w:lastRenderedPageBreak/>
        <w:t>Pozicioniranje na regionalnoj i nacionalnoj razini</w:t>
      </w:r>
      <w:bookmarkEnd w:id="55"/>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Brend destinacije temelji se na prirodnim ljepotama, očuvanosti prostora, kulturnoj i pomorskoj baštini te doživljajima mira i autentičnosti. Ti elementi su kompatibilni s regionalnim smjernicama TZ Zadarske županije ("Doživi više") i nacionalnim strategijama (HTZ: „Croatia, full of life“). Međutim, marketinško pozicioniranje na višim razinama još nije dovoljno strukturirano. Potrebno je aktivnije uključivanje u kampanje nacionalne i županijske razine, uz jačanje vlastite narativne osnove i vizualnog identiteta.</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48"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56" w:name="_Toc217040687"/>
      <w:r>
        <w:rPr>
          <w:rFonts w:ascii="Times New Roman" w:hAnsi="Times New Roman" w:cs="Times New Roman"/>
          <w:color w:val="54A021" w:themeColor="accent2"/>
        </w:rPr>
        <w:t>Analiza konkurencije</w:t>
      </w:r>
      <w:bookmarkEnd w:id="56"/>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Za ocjenu tržišne pozicije destinacije Dugi otok – Zverinac – Lavdara, provedena je analiza konkurentskog okruženja kroz identifikaciju direktnih i indirektnih konkurenata, usporedne pokazatelje (benchmarking), komunikacijske strategije konkurencije, tržišne trendove i obilježja turističke potražnje.</w:t>
      </w:r>
    </w:p>
    <w:p w:rsidR="00702E3C" w:rsidRDefault="004B1C83">
      <w:pPr>
        <w:pStyle w:val="Naslov3"/>
        <w:numPr>
          <w:ilvl w:val="2"/>
          <w:numId w:val="1"/>
        </w:numPr>
        <w:rPr>
          <w:rFonts w:ascii="Times New Roman" w:hAnsi="Times New Roman" w:cs="Times New Roman"/>
          <w:color w:val="54A021" w:themeColor="accent2"/>
        </w:rPr>
      </w:pPr>
      <w:bookmarkStart w:id="57" w:name="_Toc217040688"/>
      <w:r>
        <w:rPr>
          <w:rFonts w:ascii="Times New Roman" w:hAnsi="Times New Roman" w:cs="Times New Roman"/>
          <w:color w:val="54A021" w:themeColor="accent2"/>
        </w:rPr>
        <w:t>Identifikacija konkurentskih destinacija</w:t>
      </w:r>
      <w:bookmarkEnd w:id="57"/>
    </w:p>
    <w:p w:rsidR="00702E3C" w:rsidRDefault="00702E3C">
      <w:pPr>
        <w:rPr>
          <w:rFonts w:ascii="Times New Roman" w:hAnsi="Times New Roman" w:cs="Times New Roman"/>
        </w:rPr>
      </w:pPr>
    </w:p>
    <w:p w:rsidR="00702E3C" w:rsidRDefault="004B1C83">
      <w:pPr>
        <w:pStyle w:val="Odlomakpopisa"/>
        <w:numPr>
          <w:ilvl w:val="0"/>
          <w:numId w:val="16"/>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Direktna konkurencija: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Otoci sličnih geografskih, prirodnih i kulturnih karakteristika koji nude mir, autentičnost i zaštićenu prirodu: Silba, Molat, Iž, Ugljan, Pašman, Mljet i Lastovo.</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Posebno relevantni su otoci Kornatskog arhipelaga, ali i dijelovi otok Ugljan i Pašman, zbog slične dostupnosti iz Zadra i orijentacije na nautiku, aktivni odmor i održivi turizam.</w:t>
      </w:r>
    </w:p>
    <w:p w:rsidR="00702E3C" w:rsidRDefault="004B1C83">
      <w:pPr>
        <w:pStyle w:val="Odlomakpopisa"/>
        <w:numPr>
          <w:ilvl w:val="0"/>
          <w:numId w:val="16"/>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Indirektna konkurencija: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Obalni gradovi i veće destinacije u Zadarskoj i Šibensko-kninskoj županiji, koji nude različitu, ali konkurentnu ponudu za slične ciljne skupine: Zadar, Biograd, Primošten, Šibenik, Trogir.</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Kontinentalne destinacije koje nude povoljne aktivne ili wellness pakete u ljetnim mjesecima.</w:t>
      </w:r>
    </w:p>
    <w:p w:rsidR="006B12FC" w:rsidRDefault="006B12FC">
      <w:pPr>
        <w:spacing w:line="360" w:lineRule="auto"/>
        <w:jc w:val="both"/>
        <w:rPr>
          <w:rFonts w:ascii="Times New Roman" w:hAnsi="Times New Roman" w:cs="Times New Roman"/>
          <w:sz w:val="24"/>
          <w:szCs w:val="24"/>
        </w:rPr>
      </w:pPr>
    </w:p>
    <w:p w:rsidR="006B12FC" w:rsidRDefault="006B12FC">
      <w:pPr>
        <w:spacing w:line="360" w:lineRule="auto"/>
        <w:jc w:val="both"/>
        <w:rPr>
          <w:rFonts w:ascii="Times New Roman" w:hAnsi="Times New Roman" w:cs="Times New Roman"/>
          <w:sz w:val="24"/>
          <w:szCs w:val="24"/>
        </w:rPr>
      </w:pPr>
    </w:p>
    <w:p w:rsidR="006B12FC" w:rsidRDefault="006B12FC">
      <w:pPr>
        <w:spacing w:line="360" w:lineRule="auto"/>
        <w:jc w:val="both"/>
        <w:rPr>
          <w:rFonts w:ascii="Times New Roman" w:hAnsi="Times New Roman" w:cs="Times New Roman"/>
          <w:sz w:val="24"/>
          <w:szCs w:val="24"/>
        </w:rPr>
      </w:pP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v:rect id="_x0000_i1049"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58" w:name="_Toc217040689"/>
      <w:r>
        <w:rPr>
          <w:rFonts w:ascii="Times New Roman" w:hAnsi="Times New Roman" w:cs="Times New Roman"/>
          <w:color w:val="54A021" w:themeColor="accent2"/>
        </w:rPr>
        <w:t>Benchmarking – ključni pokazatelji usporedbe</w:t>
      </w:r>
      <w:bookmarkEnd w:id="58"/>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Kako bi se precizno ocijenila tržišna pozicija Dugog otoka kao turističke destinacije, provedena je benchmarking analiza u odnosu na srodne otoke Jadrana koji dijele slična prirodna, društvena i turistička obilježja. Usporedba je obuhvatila otoke Silbu, Olib, Iž, Ugljan, Pašman, Mljet i Lastovo, koji predstavljaju izravne ili neizravne konkurente zbog zemljopisne blizine, slične strukture ponude, orijentacije prema održivom turizmu te usmjerenosti na posjetitelje koji traže prirodna, mirna i autentična odredišta.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Analizirani su ključni pokazatelji poput broja dolazaka i noćenja, razine razvijenosti smještajne infrastrukture, atrakcijske osnove te dominantnih oblika turističke ponude. Ovi pokazatelji omogućuju pozicioniranje Dugog otoka unutar konkurentskog kruga i ukazuju na njegove prednosti, nedostatke te prilike za daljnje strateško pozicioniranje.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 nastavku se prikazuje sažeta usporedna tablica, temeljena na raspoloživim statističkim podacima i dostupnim istraživanjima, koja oslikava trenutačnu poziciju Dugog otoka u odnosu na referentne destinacije.</w:t>
      </w:r>
    </w:p>
    <w:tbl>
      <w:tblPr>
        <w:tblW w:w="0" w:type="auto"/>
        <w:tblCellSpacing w:w="15" w:type="dxa"/>
        <w:tblBorders>
          <w:top w:val="single" w:sz="4" w:space="0" w:color="54A021" w:themeColor="accent2"/>
          <w:left w:val="single" w:sz="4" w:space="0" w:color="54A021" w:themeColor="accent2"/>
          <w:bottom w:val="single" w:sz="4" w:space="0" w:color="54A021" w:themeColor="accent2"/>
          <w:right w:val="single" w:sz="4" w:space="0" w:color="54A021" w:themeColor="accent2"/>
          <w:insideH w:val="single" w:sz="4" w:space="0" w:color="54A021" w:themeColor="accent2"/>
          <w:insideV w:val="single" w:sz="4" w:space="0" w:color="54A021" w:themeColor="accent2"/>
        </w:tblBorders>
        <w:tblCellMar>
          <w:top w:w="15" w:type="dxa"/>
          <w:left w:w="15" w:type="dxa"/>
          <w:bottom w:w="15" w:type="dxa"/>
          <w:right w:w="15" w:type="dxa"/>
        </w:tblCellMar>
        <w:tblLook w:val="04A0" w:firstRow="1" w:lastRow="0" w:firstColumn="1" w:lastColumn="0" w:noHBand="0" w:noVBand="1"/>
      </w:tblPr>
      <w:tblGrid>
        <w:gridCol w:w="1337"/>
        <w:gridCol w:w="2370"/>
        <w:gridCol w:w="2516"/>
        <w:gridCol w:w="2839"/>
      </w:tblGrid>
      <w:tr w:rsidR="00702E3C">
        <w:trPr>
          <w:tblHeader/>
          <w:tblCellSpacing w:w="15" w:type="dxa"/>
        </w:trPr>
        <w:tc>
          <w:tcPr>
            <w:tcW w:w="0" w:type="auto"/>
            <w:shd w:val="clear" w:color="auto" w:fill="B7E995" w:themeFill="accent2" w:themeFillTint="66"/>
            <w:vAlign w:val="center"/>
          </w:tcPr>
          <w:p w:rsidR="00702E3C" w:rsidRDefault="004B1C83">
            <w:pPr>
              <w:spacing w:after="0" w:line="240" w:lineRule="auto"/>
              <w:jc w:val="center"/>
              <w:rPr>
                <w:rFonts w:ascii="Times New Roman" w:eastAsia="Times New Roman" w:hAnsi="Times New Roman" w:cs="Times New Roman"/>
                <w:b/>
                <w:bCs/>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Otok</w:t>
            </w:r>
          </w:p>
        </w:tc>
        <w:tc>
          <w:tcPr>
            <w:tcW w:w="0" w:type="auto"/>
            <w:shd w:val="clear" w:color="auto" w:fill="B7E995" w:themeFill="accent2" w:themeFillTint="66"/>
            <w:vAlign w:val="center"/>
          </w:tcPr>
          <w:p w:rsidR="00702E3C" w:rsidRDefault="004B1C83">
            <w:pPr>
              <w:spacing w:after="0" w:line="240" w:lineRule="auto"/>
              <w:jc w:val="center"/>
              <w:rPr>
                <w:rFonts w:ascii="Times New Roman" w:eastAsia="Times New Roman" w:hAnsi="Times New Roman" w:cs="Times New Roman"/>
                <w:b/>
                <w:bCs/>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Prosječni godišnji dolasci (2011</w:t>
            </w:r>
            <w:r>
              <w:rPr>
                <w:rFonts w:ascii="Times New Roman" w:eastAsia="Times New Roman" w:hAnsi="Times New Roman" w:cs="Times New Roman"/>
                <w:b/>
                <w:bCs/>
                <w:kern w:val="0"/>
                <w:sz w:val="24"/>
                <w:szCs w:val="24"/>
                <w:lang w:eastAsia="hr-HR"/>
                <w14:ligatures w14:val="none"/>
              </w:rPr>
              <w:noBreakHyphen/>
              <w:t>19)</w:t>
            </w:r>
          </w:p>
        </w:tc>
        <w:tc>
          <w:tcPr>
            <w:tcW w:w="0" w:type="auto"/>
            <w:shd w:val="clear" w:color="auto" w:fill="B7E995" w:themeFill="accent2" w:themeFillTint="66"/>
            <w:vAlign w:val="center"/>
          </w:tcPr>
          <w:p w:rsidR="00702E3C" w:rsidRDefault="004B1C83">
            <w:pPr>
              <w:spacing w:after="0" w:line="240" w:lineRule="auto"/>
              <w:jc w:val="center"/>
              <w:rPr>
                <w:rFonts w:ascii="Times New Roman" w:eastAsia="Times New Roman" w:hAnsi="Times New Roman" w:cs="Times New Roman"/>
                <w:b/>
                <w:bCs/>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Noćenja (procjena)</w:t>
            </w:r>
          </w:p>
        </w:tc>
        <w:tc>
          <w:tcPr>
            <w:tcW w:w="0" w:type="auto"/>
            <w:shd w:val="clear" w:color="auto" w:fill="B7E995" w:themeFill="accent2" w:themeFillTint="66"/>
            <w:vAlign w:val="center"/>
          </w:tcPr>
          <w:p w:rsidR="00702E3C" w:rsidRDefault="004B1C83">
            <w:pPr>
              <w:spacing w:after="0" w:line="240" w:lineRule="auto"/>
              <w:jc w:val="center"/>
              <w:rPr>
                <w:rFonts w:ascii="Times New Roman" w:eastAsia="Times New Roman" w:hAnsi="Times New Roman" w:cs="Times New Roman"/>
                <w:b/>
                <w:bCs/>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Dominantan smještaj i ponuda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Dugi otok</w:t>
            </w:r>
            <w:r>
              <w:rPr>
                <w:rFonts w:ascii="Times New Roman" w:eastAsia="Times New Roman" w:hAnsi="Times New Roman" w:cs="Times New Roman"/>
                <w:kern w:val="0"/>
                <w:sz w:val="24"/>
                <w:szCs w:val="24"/>
                <w:lang w:eastAsia="hr-HR"/>
                <w14:ligatures w14:val="none"/>
              </w:rPr>
              <w:t xml:space="preserve"> </w:t>
            </w:r>
            <w:r>
              <w:rPr>
                <w:rFonts w:ascii="Times New Roman" w:eastAsia="Times New Roman" w:hAnsi="Times New Roman" w:cs="Times New Roman"/>
                <w:i/>
                <w:iCs/>
                <w:kern w:val="0"/>
                <w:sz w:val="24"/>
                <w:szCs w:val="24"/>
                <w:lang w:eastAsia="hr-HR"/>
                <w14:ligatures w14:val="none"/>
              </w:rPr>
              <w:t>(dest.)</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~80.000–100.000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~800.000–1.000.000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Privatni smještaj, kampovi, nautika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Silba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oko 40.000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manjih noćenja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Privatni smještaj, mir i izolacija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Olib</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manji (niži arhipelag)</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vrlo niski broj</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Niskointenzivni smještaj</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Iž</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oko 90.000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sličnih noćenja</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Privatni smještaj, blaga dostupnost Zadra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Ugljan</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oko 100.000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 xml:space="preserve">više (turizam + lokalno stanovništvo) </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Kombinacija hotela i privatnog smještaja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Pašman</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oko 60.000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niže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Privatni smještaj, ribarski naselja</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Mljet</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oko 50.000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niže</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Nacionalni park, smještaj i etno-turizam</w:t>
            </w:r>
          </w:p>
        </w:tc>
      </w:tr>
      <w:tr w:rsidR="00702E3C">
        <w:trPr>
          <w:tblCellSpacing w:w="15" w:type="dxa"/>
        </w:trPr>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b/>
                <w:bCs/>
                <w:kern w:val="0"/>
                <w:sz w:val="24"/>
                <w:szCs w:val="24"/>
                <w:lang w:eastAsia="hr-HR"/>
                <w14:ligatures w14:val="none"/>
              </w:rPr>
              <w:t>Lastovo</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oko 6.600</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vrlo nizak broj</w:t>
            </w:r>
          </w:p>
        </w:tc>
        <w:tc>
          <w:tcPr>
            <w:tcW w:w="0" w:type="auto"/>
            <w:vAlign w:val="center"/>
          </w:tcPr>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Mir, priroda, vrlo niski intenzitet</w:t>
            </w:r>
          </w:p>
        </w:tc>
      </w:tr>
    </w:tbl>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4B1C83">
      <w:pPr>
        <w:pStyle w:val="Naslov3"/>
        <w:numPr>
          <w:ilvl w:val="2"/>
          <w:numId w:val="1"/>
        </w:numPr>
        <w:rPr>
          <w:rFonts w:ascii="Times New Roman" w:hAnsi="Times New Roman" w:cs="Times New Roman"/>
          <w:color w:val="54A021" w:themeColor="accent2"/>
        </w:rPr>
      </w:pPr>
      <w:bookmarkStart w:id="59" w:name="_Toc217040690"/>
      <w:r>
        <w:rPr>
          <w:rFonts w:ascii="Times New Roman" w:hAnsi="Times New Roman" w:cs="Times New Roman"/>
          <w:color w:val="54A021" w:themeColor="accent2"/>
        </w:rPr>
        <w:lastRenderedPageBreak/>
        <w:t>Komunikacijske strategije konkurencije</w:t>
      </w:r>
      <w:bookmarkEnd w:id="59"/>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Većina konkurentskih destinacija koristi društvene mreže, web stranice i promotivne kampanje u suradnji sa županijskim TZ-ovima. Silba i Iž posebno naglašavaju mir i odsustvo automobila, dok Ugljan više koristi slogan „otok aktivnog odmora“. Dugi otok još uvijek traži snažniji narativ koji bi ga jasno razlikovao, iako se već brendira kroz elemente netaknute prirode, tajne Jadrana, Park prirode Telašćica i Sakarun.</w:t>
      </w:r>
    </w:p>
    <w:p w:rsidR="00702E3C" w:rsidRDefault="004B1C83">
      <w:pPr>
        <w:pStyle w:val="Naslov3"/>
        <w:numPr>
          <w:ilvl w:val="2"/>
          <w:numId w:val="1"/>
        </w:numPr>
        <w:rPr>
          <w:rFonts w:ascii="Times New Roman" w:hAnsi="Times New Roman" w:cs="Times New Roman"/>
          <w:color w:val="54A021" w:themeColor="accent2"/>
        </w:rPr>
      </w:pPr>
      <w:bookmarkStart w:id="60" w:name="_Toc217040691"/>
      <w:r>
        <w:rPr>
          <w:rFonts w:ascii="Times New Roman" w:hAnsi="Times New Roman" w:cs="Times New Roman"/>
          <w:color w:val="54A021" w:themeColor="accent2"/>
        </w:rPr>
        <w:t>Tržišni trendovi i inovacije</w:t>
      </w:r>
      <w:bookmarkEnd w:id="60"/>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Kao što pokazuju analize HTZ-a i TZ Zadarske županije, trendovi uključuju:</w:t>
      </w:r>
    </w:p>
    <w:p w:rsidR="00702E3C" w:rsidRDefault="004B1C83">
      <w:pPr>
        <w:pStyle w:val="Odlomakpopis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rast potražnje za održivim turizmom,</w:t>
      </w:r>
    </w:p>
    <w:p w:rsidR="00702E3C" w:rsidRDefault="004B1C83">
      <w:pPr>
        <w:pStyle w:val="Odlomakpopis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autentična iskustva, gastronomiju i aktivni odmor,</w:t>
      </w:r>
    </w:p>
    <w:p w:rsidR="00702E3C" w:rsidRDefault="004B1C83">
      <w:pPr>
        <w:pStyle w:val="Odlomakpopis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korištenje digitalnih platformi i influencera za promociju.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Dugi otok djelomično odgovara na te trendove, ali je potrebno više zajedničkih inicijativa na razini destinacije (TZ + pružatelji usluga).</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50" style="width:0;height:1.5pt" o:hralign="center" o:hrstd="t" o:hr="t" fillcolor="#a0a0a0" stroked="f"/>
        </w:pict>
      </w:r>
    </w:p>
    <w:p w:rsidR="00702E3C" w:rsidRDefault="004B1C83">
      <w:pPr>
        <w:pStyle w:val="Naslov3"/>
        <w:numPr>
          <w:ilvl w:val="2"/>
          <w:numId w:val="1"/>
        </w:numPr>
        <w:rPr>
          <w:rFonts w:ascii="Times New Roman" w:hAnsi="Times New Roman" w:cs="Times New Roman"/>
          <w:color w:val="54A021" w:themeColor="accent2"/>
        </w:rPr>
      </w:pPr>
      <w:bookmarkStart w:id="61" w:name="_Toc217040692"/>
      <w:r>
        <w:rPr>
          <w:rFonts w:ascii="Times New Roman" w:hAnsi="Times New Roman" w:cs="Times New Roman"/>
          <w:color w:val="54A021" w:themeColor="accent2"/>
        </w:rPr>
        <w:t>Turistička potražnja – profil posjetitelja</w:t>
      </w:r>
      <w:bookmarkEnd w:id="61"/>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Analiza dostupnih podataka ukazuje na:</w:t>
      </w:r>
    </w:p>
    <w:p w:rsidR="00702E3C" w:rsidRDefault="004B1C83">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Dominantne skupine: obitelji s djecom, parovi srednje dobi, nautičari, planinari i biciklisti,</w:t>
      </w:r>
    </w:p>
    <w:p w:rsidR="00702E3C" w:rsidRDefault="004B1C83">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Emitivna tržišta: Njemačka, Austrija, Češka, Slovenija, Poljska, Hrvatska,</w:t>
      </w:r>
    </w:p>
    <w:p w:rsidR="00702E3C" w:rsidRDefault="004B1C83">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Boravak: u prosjeku 5–7 noći, često u privatnom smještaju ili na brodu,</w:t>
      </w:r>
    </w:p>
    <w:p w:rsidR="00702E3C" w:rsidRDefault="004B1C83">
      <w:pPr>
        <w:pStyle w:val="Odlomakpopis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Vrijednosti koje gosti traže: mir, priroda, čisto more, sigurnost, autentičnost.</w:t>
      </w: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51" style="width:0;height:1.5pt" o:hralign="center" o:hrstd="t" o:hr="t" fillcolor="#a0a0a0" stroked="f"/>
        </w:pict>
      </w:r>
    </w:p>
    <w:p w:rsidR="00702E3C" w:rsidRDefault="004B1C83">
      <w:pPr>
        <w:pStyle w:val="Naslov2"/>
        <w:numPr>
          <w:ilvl w:val="1"/>
          <w:numId w:val="1"/>
        </w:numPr>
        <w:rPr>
          <w:rFonts w:ascii="Times New Roman" w:hAnsi="Times New Roman" w:cs="Times New Roman"/>
          <w:color w:val="54A021" w:themeColor="accent2"/>
        </w:rPr>
      </w:pPr>
      <w:bookmarkStart w:id="62" w:name="_Toc217040693"/>
      <w:r>
        <w:rPr>
          <w:rFonts w:ascii="Times New Roman" w:hAnsi="Times New Roman" w:cs="Times New Roman"/>
          <w:color w:val="54A021" w:themeColor="accent2"/>
        </w:rPr>
        <w:t>Izvješće o provedenoj analizi stanja</w:t>
      </w:r>
      <w:bookmarkEnd w:id="62"/>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Izvješće o analizi stanja predstavlja sažeti i integrirani prikaz svih ključnih elemenata koji utječu na razvoj i upravljanje turističkom destinacijom Dugi otok, Zverinac i Lavdara. Na temelju provedene analize resursne osnove, turističke i komunalne infrastrukture, digitalizacije, pristupačnosti, ljudskih potencijala, organiziranosti usluga, komunikacijskih aktivnosti i </w:t>
      </w:r>
      <w:r>
        <w:rPr>
          <w:rFonts w:ascii="Times New Roman" w:hAnsi="Times New Roman" w:cs="Times New Roman"/>
          <w:sz w:val="24"/>
          <w:szCs w:val="24"/>
        </w:rPr>
        <w:lastRenderedPageBreak/>
        <w:t>konkurentnosti, može se donijeti nekoliko važnih zaključaka o trenutačnom stanju destinacije i njezinu razvojnome potencijalu.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Dugi otok raspolaže iznimno vrijednom prirodnom i kulturnom baštinom, uključujući zaštićena područja poput Parka prirode Telašćica i niza arheoloških lokaliteta, ali se suočava s infrastrukturnim izazovima, sezonalnošću i potrebom za daljnjom digitalnom transformacijom. Nedostatak organiziranih parkirališta, ograničena zdravstvena i poštanska infrastruktura, neujednačena digitalna prisutnost te oskudni kapaciteti za osobe s invaliditetom predstavljaju konkretne izazove u održivom razvoju.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Analiza konkurentnosti pokazuje da se Dugi otok dobro pozicionira unutar svog konkurentskog kruga, ali zaostaje u segmentima organizacije destinacijskog menadžmenta i promocije. Usporedba s otocima poput Mljeta, Lastova ili Ugljana ukazuje na potrebu za dodatnim ulaganjima u diverzifikaciju ponude, bolju prometnu povezanost i ciljano tržišno komuniciranje.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Tijekom izrade analize uzeti su u obzir i razvojni projekti u tijeku, poput rekonstrukcije pristaništa, revitalizacije kulturne baštine i jačanja infrastrukture u sklopu programa Zelene urbane obnove. Također je valoriziran i utjecaj susjednih destinacija te njihova atraktivnost za slične ciljne skupine gostiju.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Globalni i nacionalni turistički trendovi (poput potražnje za autentičnim doživljajem, digitalizacijom usluga, održivošću i mobilnošću) upućuju na potrebu strateškog pozicioniranja destinacije koja će znati očuvati prirodne vrijednosti i identitet, a istovremeno osigurati kvalitetnu uslugu, infrastrukturu i sadržaje koji odgovaraju zahtjevima modernih putnika.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Izvješće o analizi stanja stoga predstavlja temelj za definiranje ciljeva, mjera i projekata u nastavku Plana upravljanja turističkom destinacijom, koji će se utemeljiti na održivom razvoju, uključivanju zajednice i konkurentnom upravljanju resursima.</w:t>
      </w: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702E3C">
      <w:pPr>
        <w:spacing w:line="360" w:lineRule="auto"/>
        <w:rPr>
          <w:rFonts w:ascii="Times New Roman" w:hAnsi="Times New Roman" w:cs="Times New Roman"/>
          <w:sz w:val="24"/>
          <w:szCs w:val="24"/>
        </w:rPr>
      </w:pPr>
    </w:p>
    <w:p w:rsidR="00702E3C" w:rsidRDefault="002D0BA4">
      <w:pPr>
        <w:spacing w:line="360" w:lineRule="auto"/>
        <w:rPr>
          <w:rFonts w:ascii="Times New Roman" w:hAnsi="Times New Roman" w:cs="Times New Roman"/>
          <w:sz w:val="24"/>
          <w:szCs w:val="24"/>
        </w:rPr>
      </w:pPr>
      <w:r>
        <w:rPr>
          <w:rFonts w:ascii="Times New Roman" w:hAnsi="Times New Roman" w:cs="Times New Roman"/>
          <w:sz w:val="24"/>
          <w:szCs w:val="24"/>
        </w:rPr>
        <w:pict>
          <v:rect id="_x0000_i1052" style="width:0;height:1.5pt" o:hralign="center" o:hrstd="t" o:hr="t" fillcolor="#a0a0a0" stroked="f"/>
        </w:pict>
      </w:r>
    </w:p>
    <w:p w:rsidR="00702E3C" w:rsidRDefault="004B1C83">
      <w:pPr>
        <w:pStyle w:val="Naslov1"/>
        <w:numPr>
          <w:ilvl w:val="0"/>
          <w:numId w:val="1"/>
        </w:numPr>
        <w:rPr>
          <w:rFonts w:ascii="Times New Roman" w:hAnsi="Times New Roman" w:cs="Times New Roman"/>
          <w:b/>
          <w:bCs/>
          <w:color w:val="54A021" w:themeColor="accent2"/>
        </w:rPr>
      </w:pPr>
      <w:bookmarkStart w:id="63" w:name="_Toc217040694"/>
      <w:r>
        <w:rPr>
          <w:rFonts w:ascii="Times New Roman" w:hAnsi="Times New Roman" w:cs="Times New Roman"/>
          <w:b/>
          <w:bCs/>
          <w:color w:val="54A021" w:themeColor="accent2"/>
        </w:rPr>
        <w:lastRenderedPageBreak/>
        <w:t>POTENCIJAL ZA RAZVOJ I PODIZANJE KVALITETE TURISTIČKIH PROIZVODA</w:t>
      </w:r>
      <w:bookmarkEnd w:id="63"/>
    </w:p>
    <w:p w:rsidR="00702E3C" w:rsidRDefault="00702E3C">
      <w:pPr>
        <w:rPr>
          <w:rFonts w:ascii="Times New Roman" w:hAnsi="Times New Roman" w:cs="Times New Roman"/>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Ovo poglavlje temelji se na analizi stanja iz prethodnog dijela Plana upravljanja (Poglavlje 3) te donosi pregled i vrednovanje ključnih turističkih proizvoda destinacije Dugi otok, Zverinac i Lavdara s ciljem definiranja potencijala za njihov daljnji razvoj, diversifikaciju i podizanje kvalitete.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Turistički proizvodi analizirani su kroz prizmu postojećih resursa, atrakcija, javne turističke infrastrukture i podržavajućih usluga, a posebna se pažnja posvećuje proizvodima koji mogu pridonijeti produljenju sezone, održivom razvoju i jačanju prepoznatljivosti destinacije na ciljanim tržištima. U obzir su uzeti i globalni turistički trendovi, poput porasta interesa za autentična i iskustvena putovanja, aktivni odmor u prirodi, kulturnu baštinu te odgovorni i inkluzivni turizam.</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Za svaki identificirani turistički proizvod procijenjen je:</w:t>
      </w:r>
    </w:p>
    <w:p w:rsidR="00702E3C" w:rsidRDefault="004B1C83">
      <w:pPr>
        <w:pStyle w:val="Odlomakpopis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Razvojni potencijal, uključujući kapacitet nosivosti prostora, sezonalnost, razinu postojeće infrastrukture i mogućnost uključivanja u šire itinerere i destinacijske koncepte,</w:t>
      </w:r>
    </w:p>
    <w:p w:rsidR="00702E3C" w:rsidRDefault="004B1C83">
      <w:pPr>
        <w:pStyle w:val="Odlomakpopis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Marketinški potencijal, kroz fizičku i javnu dostupnost, razinu obilježenosti, prisutnost na tržištu i digitalnu vidljivost.</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Ova će analiza poslužiti kao temelj za identifikaciju prioritetnih razvojnih projekata i aktivnosti koje će se razraditi u sljedećem poglavlju (Poglavlje 5 – Ciljevi, mjere i aktivnosti Plana upravljanja).</w:t>
      </w:r>
    </w:p>
    <w:tbl>
      <w:tblPr>
        <w:tblStyle w:val="Reetkatablice"/>
        <w:tblW w:w="0" w:type="auto"/>
        <w:jc w:val="center"/>
        <w:tblLook w:val="04A0" w:firstRow="1" w:lastRow="0" w:firstColumn="1" w:lastColumn="0" w:noHBand="0" w:noVBand="1"/>
      </w:tblPr>
      <w:tblGrid>
        <w:gridCol w:w="2160"/>
        <w:gridCol w:w="2160"/>
        <w:gridCol w:w="2380"/>
        <w:gridCol w:w="2160"/>
      </w:tblGrid>
      <w:tr w:rsidR="00702E3C">
        <w:trPr>
          <w:jc w:val="center"/>
        </w:trPr>
        <w:tc>
          <w:tcPr>
            <w:tcW w:w="2160" w:type="dxa"/>
            <w:shd w:val="clear" w:color="auto" w:fill="B7E995" w:themeFill="accent2" w:themeFillTint="66"/>
          </w:tcPr>
          <w:p w:rsidR="00702E3C" w:rsidRDefault="00702E3C">
            <w:pPr>
              <w:spacing w:line="360" w:lineRule="auto"/>
              <w:rPr>
                <w:rFonts w:ascii="Times New Roman" w:hAnsi="Times New Roman" w:cs="Times New Roman"/>
                <w:sz w:val="20"/>
                <w:szCs w:val="20"/>
              </w:rPr>
            </w:pPr>
          </w:p>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Turistički proizvod</w:t>
            </w:r>
          </w:p>
        </w:tc>
        <w:tc>
          <w:tcPr>
            <w:tcW w:w="2160" w:type="dxa"/>
            <w:shd w:val="clear" w:color="auto" w:fill="B7E995" w:themeFill="accent2" w:themeFillTint="66"/>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Razvojni potencijal (sezonalnost, atraktivnost, kapacitet)</w:t>
            </w:r>
          </w:p>
        </w:tc>
        <w:tc>
          <w:tcPr>
            <w:tcW w:w="2160" w:type="dxa"/>
            <w:shd w:val="clear" w:color="auto" w:fill="B7E995" w:themeFill="accent2" w:themeFillTint="66"/>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Marketinški potencijal (pristupačnost, obilježenost, prepoznatljivost)</w:t>
            </w:r>
          </w:p>
        </w:tc>
        <w:tc>
          <w:tcPr>
            <w:tcW w:w="2160" w:type="dxa"/>
            <w:shd w:val="clear" w:color="auto" w:fill="B7E995" w:themeFill="accent2" w:themeFillTint="66"/>
          </w:tcPr>
          <w:p w:rsidR="00702E3C" w:rsidRDefault="00702E3C">
            <w:pPr>
              <w:spacing w:line="360" w:lineRule="auto"/>
              <w:rPr>
                <w:rFonts w:ascii="Times New Roman" w:hAnsi="Times New Roman" w:cs="Times New Roman"/>
                <w:sz w:val="20"/>
                <w:szCs w:val="20"/>
              </w:rPr>
            </w:pPr>
          </w:p>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Preporuke za razvoj i pozicioniranje</w:t>
            </w:r>
          </w:p>
        </w:tc>
      </w:tr>
      <w:tr w:rsidR="00702E3C">
        <w:trPr>
          <w:jc w:val="center"/>
        </w:trPr>
        <w:tc>
          <w:tcPr>
            <w:tcW w:w="2160" w:type="dxa"/>
            <w:shd w:val="clear" w:color="auto" w:fill="FAE0D0" w:themeFill="accent4" w:themeFillTint="33"/>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Outdoor aktivnosti (planinarenje, biciklizam, ronjenje,penjanje)</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Visok – cjelogodišnja ponuda moguća; prirodna atraktivnost, kapacitet ovisan o zaštiti okoliša</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Djelomičan – dobra infrastruktura, ali slaba  digitalna vidljivost</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Unaprijediti smeđu signalizaciju i digitalne karte; osmisliti tematske ture i pakete</w:t>
            </w:r>
          </w:p>
        </w:tc>
      </w:tr>
      <w:tr w:rsidR="00702E3C">
        <w:trPr>
          <w:jc w:val="center"/>
        </w:trPr>
        <w:tc>
          <w:tcPr>
            <w:tcW w:w="2160" w:type="dxa"/>
            <w:shd w:val="clear" w:color="auto" w:fill="FAE0D0" w:themeFill="accent4" w:themeFillTint="33"/>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lastRenderedPageBreak/>
              <w:t>Kulturni turizam (arheološki lokaliteti, crkve)</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Srednji – sadržaji postoje, ali su nedovoljno valorizirani i interpretirani</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Nizak – slab marketing i nedostatak interpretacijskih centara</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Uložiti u obnovu, interpretaciju i edukaciju vodiča; uključiti lokalnu zajednicu</w:t>
            </w:r>
          </w:p>
        </w:tc>
      </w:tr>
      <w:tr w:rsidR="00702E3C">
        <w:trPr>
          <w:jc w:val="center"/>
        </w:trPr>
        <w:tc>
          <w:tcPr>
            <w:tcW w:w="2160" w:type="dxa"/>
            <w:shd w:val="clear" w:color="auto" w:fill="FAE0D0" w:themeFill="accent4" w:themeFillTint="33"/>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Zdravstveni i wellness turizam (tišina, priroda, more)</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Srednji – prirodni preduvjeti dobri, ali manjak infrastrukture</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Nizak – nedovoljna komunikacija proizvoda tržištu</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Razviti ponude temeljene na well-beingu (npr. joga retreat); uključiti smještajne kapacitete</w:t>
            </w:r>
          </w:p>
        </w:tc>
      </w:tr>
      <w:tr w:rsidR="00702E3C">
        <w:trPr>
          <w:jc w:val="center"/>
        </w:trPr>
        <w:tc>
          <w:tcPr>
            <w:tcW w:w="2160" w:type="dxa"/>
            <w:shd w:val="clear" w:color="auto" w:fill="FAE0D0" w:themeFill="accent4" w:themeFillTint="33"/>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Enogastronomski turizam (lokalni proizvodi, festivali)</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Visok – lokalna tradicija i proizvodi postoje</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Srednji – ograničena ponuda i prezentacija</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Organizirati ture i manifestacije; uključiti OPG-ove i restorane</w:t>
            </w:r>
          </w:p>
        </w:tc>
      </w:tr>
      <w:tr w:rsidR="00702E3C">
        <w:trPr>
          <w:jc w:val="center"/>
        </w:trPr>
        <w:tc>
          <w:tcPr>
            <w:tcW w:w="2160" w:type="dxa"/>
            <w:shd w:val="clear" w:color="auto" w:fill="FAE0D0" w:themeFill="accent4" w:themeFillTint="33"/>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Pomorski turizam (nautika, izleti brodom)</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Visok – postojeća sidrišta, prirodne uvale</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Srednji – fizički dostupan, ali bez integriranih usluga</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Uvezati ponudu izletničkih brodova; promovirati zelenu plovidbu</w:t>
            </w:r>
          </w:p>
        </w:tc>
      </w:tr>
      <w:tr w:rsidR="00702E3C">
        <w:trPr>
          <w:jc w:val="center"/>
        </w:trPr>
        <w:tc>
          <w:tcPr>
            <w:tcW w:w="2160" w:type="dxa"/>
            <w:shd w:val="clear" w:color="auto" w:fill="FAE0D0" w:themeFill="accent4" w:themeFillTint="33"/>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Smještajni kapaciteti</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Srednji - preduvijeti dobri</w:t>
            </w:r>
          </w:p>
        </w:tc>
        <w:tc>
          <w:tcPr>
            <w:tcW w:w="2160" w:type="dxa"/>
          </w:tcPr>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Zadovoljavajuća ponuda srednje kategoriziranih smještajnih jedinica</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Nedostatak visokokategoriziranih smještajnih jedinica</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Nedostatak tematsko opredjeljenog smještaja (pansioni, aparthoteli, mali obiteljski hoteli, kuće za odmor)</w:t>
            </w:r>
          </w:p>
        </w:tc>
        <w:tc>
          <w:tcPr>
            <w:tcW w:w="2160" w:type="dxa"/>
          </w:tcPr>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Ulaganje u podizanje kvalitete, raznovrsnosti i dostupnosti smještaja</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Poticanje brownfield investiranja u smještajne kapacitete</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Diverzifikacija smještajnih kapaciteta</w:t>
            </w:r>
          </w:p>
        </w:tc>
      </w:tr>
      <w:tr w:rsidR="00702E3C">
        <w:trPr>
          <w:jc w:val="center"/>
        </w:trPr>
        <w:tc>
          <w:tcPr>
            <w:tcW w:w="2160" w:type="dxa"/>
            <w:shd w:val="clear" w:color="auto" w:fill="FAE0D0" w:themeFill="accent4" w:themeFillTint="33"/>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Ugostiteljstvo</w:t>
            </w:r>
          </w:p>
        </w:tc>
        <w:tc>
          <w:tcPr>
            <w:tcW w:w="2160" w:type="dxa"/>
          </w:tcPr>
          <w:p w:rsidR="00702E3C" w:rsidRDefault="004B1C83">
            <w:pPr>
              <w:spacing w:line="360" w:lineRule="auto"/>
              <w:rPr>
                <w:rFonts w:ascii="Times New Roman" w:hAnsi="Times New Roman" w:cs="Times New Roman"/>
                <w:sz w:val="20"/>
                <w:szCs w:val="20"/>
              </w:rPr>
            </w:pPr>
            <w:r>
              <w:rPr>
                <w:rFonts w:ascii="Times New Roman" w:hAnsi="Times New Roman" w:cs="Times New Roman"/>
                <w:sz w:val="20"/>
                <w:szCs w:val="20"/>
              </w:rPr>
              <w:t>Srednji - preduvijeti dobri</w:t>
            </w:r>
          </w:p>
        </w:tc>
        <w:tc>
          <w:tcPr>
            <w:tcW w:w="2160" w:type="dxa"/>
          </w:tcPr>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Jednolična ponude</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Nedostatak adekvatne radne snage</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lastRenderedPageBreak/>
              <w:t>Ograničen rad na glavnu sezonu</w:t>
            </w:r>
          </w:p>
        </w:tc>
        <w:tc>
          <w:tcPr>
            <w:tcW w:w="2160" w:type="dxa"/>
          </w:tcPr>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lastRenderedPageBreak/>
              <w:t>Poticanje razvoja agroturizma</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 xml:space="preserve">Poticanje povezivanja ugostitelja sa </w:t>
            </w:r>
            <w:r>
              <w:rPr>
                <w:rFonts w:ascii="Times New Roman" w:hAnsi="Times New Roman" w:cs="Times New Roman"/>
                <w:sz w:val="20"/>
                <w:szCs w:val="20"/>
              </w:rPr>
              <w:lastRenderedPageBreak/>
              <w:t>lokalnim proizvođačima</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Organiziranje edukacijskih programa</w:t>
            </w:r>
          </w:p>
          <w:p w:rsidR="00702E3C" w:rsidRDefault="004B1C83">
            <w:pPr>
              <w:numPr>
                <w:ilvl w:val="0"/>
                <w:numId w:val="20"/>
              </w:numPr>
              <w:spacing w:line="360" w:lineRule="auto"/>
              <w:rPr>
                <w:rFonts w:ascii="Times New Roman" w:hAnsi="Times New Roman" w:cs="Times New Roman"/>
                <w:sz w:val="20"/>
                <w:szCs w:val="20"/>
              </w:rPr>
            </w:pPr>
            <w:r>
              <w:rPr>
                <w:rFonts w:ascii="Times New Roman" w:hAnsi="Times New Roman" w:cs="Times New Roman"/>
                <w:sz w:val="20"/>
                <w:szCs w:val="20"/>
              </w:rPr>
              <w:t>Eno - gastro događanja</w:t>
            </w:r>
          </w:p>
        </w:tc>
      </w:tr>
    </w:tbl>
    <w:p w:rsidR="00702E3C" w:rsidRDefault="00702E3C">
      <w:pPr>
        <w:spacing w:line="360" w:lineRule="auto"/>
        <w:jc w:val="both"/>
        <w:rPr>
          <w:rFonts w:ascii="Times New Roman" w:hAnsi="Times New Roman" w:cs="Times New Roman"/>
          <w:sz w:val="24"/>
          <w:szCs w:val="24"/>
        </w:rPr>
      </w:pPr>
    </w:p>
    <w:p w:rsidR="00702E3C" w:rsidRDefault="002D0BA4">
      <w:pPr>
        <w:spacing w:line="360" w:lineRule="auto"/>
        <w:jc w:val="both"/>
        <w:rPr>
          <w:rFonts w:ascii="Times New Roman" w:hAnsi="Times New Roman" w:cs="Times New Roman"/>
          <w:sz w:val="24"/>
          <w:szCs w:val="24"/>
        </w:rPr>
      </w:pPr>
      <w:r>
        <w:rPr>
          <w:rFonts w:ascii="Times New Roman" w:hAnsi="Times New Roman" w:cs="Times New Roman"/>
          <w:sz w:val="24"/>
          <w:szCs w:val="24"/>
        </w:rPr>
        <w:pict>
          <v:rect id="_x0000_i1053" style="width:0;height:1.5pt" o:hralign="center" o:hrstd="t" o:hr="t" fillcolor="#a0a0a0" stroked="f"/>
        </w:pict>
      </w:r>
    </w:p>
    <w:p w:rsidR="00702E3C" w:rsidRDefault="004B1C83">
      <w:pPr>
        <w:pStyle w:val="Naslov1"/>
        <w:numPr>
          <w:ilvl w:val="0"/>
          <w:numId w:val="1"/>
        </w:numPr>
        <w:rPr>
          <w:rFonts w:ascii="Times New Roman" w:hAnsi="Times New Roman" w:cs="Times New Roman"/>
          <w:b/>
          <w:bCs/>
          <w:color w:val="54A021" w:themeColor="accent2"/>
        </w:rPr>
      </w:pPr>
      <w:bookmarkStart w:id="64" w:name="_Toc217040695"/>
      <w:r>
        <w:rPr>
          <w:rFonts w:ascii="Times New Roman" w:hAnsi="Times New Roman" w:cs="Times New Roman"/>
          <w:b/>
          <w:bCs/>
          <w:color w:val="54A021" w:themeColor="accent2"/>
        </w:rPr>
        <w:t>POKAZATELJI ODRŽIVOSTI NA RAZINI DESTINACIJE</w:t>
      </w:r>
      <w:bookmarkEnd w:id="64"/>
      <w:r>
        <w:rPr>
          <w:rFonts w:ascii="Times New Roman" w:hAnsi="Times New Roman" w:cs="Times New Roman"/>
          <w:b/>
          <w:bCs/>
          <w:color w:val="54A021" w:themeColor="accent2"/>
        </w:rPr>
        <w:t xml:space="preserve"> </w:t>
      </w:r>
    </w:p>
    <w:p w:rsidR="00702E3C" w:rsidRDefault="00702E3C">
      <w:pPr>
        <w:rPr>
          <w:rFonts w:ascii="Times New Roman" w:hAnsi="Times New Roman" w:cs="Times New Roman"/>
        </w:rPr>
      </w:pP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Održivi turizam sve više postaje temeljna orijentacija razvoja turističkih destinacija. U skladu sa ZOT-om i Pravilnikom o pokazateljima za praćenje održivosti (NN 112/2024), Plan se temelji na obveznim i specifičnim pokazateljima održivosti koji omogućuju sustavno praćenje, evaluaciju i unapređenje razvoja turizma u skladu s načelima održivosti.</w:t>
      </w:r>
    </w:p>
    <w:p w:rsidR="00702E3C" w:rsidRDefault="004B1C83">
      <w:pPr>
        <w:pStyle w:val="Naslov2"/>
        <w:numPr>
          <w:ilvl w:val="1"/>
          <w:numId w:val="1"/>
        </w:numPr>
        <w:rPr>
          <w:rFonts w:ascii="Times New Roman" w:hAnsi="Times New Roman" w:cs="Times New Roman"/>
          <w:color w:val="54A021" w:themeColor="accent2"/>
        </w:rPr>
      </w:pPr>
      <w:bookmarkStart w:id="65" w:name="_Toc217040696"/>
      <w:r>
        <w:rPr>
          <w:rFonts w:ascii="Times New Roman" w:hAnsi="Times New Roman" w:cs="Times New Roman"/>
          <w:color w:val="54A021" w:themeColor="accent2"/>
        </w:rPr>
        <w:t>Izvori podataka:</w:t>
      </w:r>
      <w:bookmarkEnd w:id="65"/>
      <w:r>
        <w:rPr>
          <w:rFonts w:ascii="Times New Roman" w:hAnsi="Times New Roman" w:cs="Times New Roman"/>
          <w:color w:val="54A021" w:themeColor="accent2"/>
        </w:rPr>
        <w:t xml:space="preserve"> </w:t>
      </w: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Podaci se prikupljaju iz:</w:t>
      </w: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Službenih statistika (DZS, eVisitor, HZZ, FINA, HEP, komunalna poduzeća)</w:t>
      </w: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Javno dostupnih evidencija (npr. prostorni planovi, upravne odluke)</w:t>
      </w: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Primarnih istraživanja (ankete lokalnog stanovništva i turista)</w:t>
      </w: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 Izvješća turističke zajednice i drugih dionika</w:t>
      </w:r>
    </w:p>
    <w:p w:rsidR="00702E3C" w:rsidRDefault="004B1C83">
      <w:pPr>
        <w:pStyle w:val="Naslov2"/>
        <w:numPr>
          <w:ilvl w:val="1"/>
          <w:numId w:val="1"/>
        </w:numPr>
        <w:rPr>
          <w:rFonts w:ascii="Times New Roman" w:hAnsi="Times New Roman" w:cs="Times New Roman"/>
          <w:color w:val="54A021" w:themeColor="accent2"/>
          <w:sz w:val="24"/>
          <w:szCs w:val="24"/>
        </w:rPr>
      </w:pPr>
      <w:bookmarkStart w:id="66" w:name="_Toc217040697"/>
      <w:r>
        <w:rPr>
          <w:rFonts w:ascii="Times New Roman" w:eastAsia="Times New Roman" w:hAnsi="Times New Roman" w:cs="Times New Roman"/>
          <w:color w:val="54A021" w:themeColor="accent2"/>
          <w:lang w:eastAsia="hr-HR"/>
        </w:rPr>
        <w:t>Popis i metodološka tablica obveznih pokazatelja održivosti</w:t>
      </w:r>
      <w:bookmarkEnd w:id="66"/>
    </w:p>
    <w:p w:rsidR="00702E3C" w:rsidRDefault="00702E3C">
      <w:pPr>
        <w:pStyle w:val="Odlomakpopisa"/>
        <w:shd w:val="clear" w:color="auto" w:fill="FFFFFF"/>
        <w:spacing w:before="204" w:after="72" w:line="240" w:lineRule="auto"/>
        <w:ind w:left="420"/>
        <w:textAlignment w:val="baseline"/>
        <w:rPr>
          <w:rFonts w:ascii="Times New Roman" w:eastAsia="Times New Roman" w:hAnsi="Times New Roman" w:cs="Times New Roman"/>
          <w:b/>
          <w:bCs/>
          <w:kern w:val="0"/>
          <w:sz w:val="26"/>
          <w:szCs w:val="26"/>
          <w:lang w:eastAsia="hr-HR"/>
          <w14:ligatures w14:val="none"/>
        </w:rPr>
      </w:pPr>
      <w:bookmarkStart w:id="67" w:name="_Hlk204541279"/>
    </w:p>
    <w:p w:rsidR="00702E3C" w:rsidRDefault="00702E3C">
      <w:pPr>
        <w:pStyle w:val="Odlomakpopisa"/>
        <w:shd w:val="clear" w:color="auto" w:fill="FFFFFF"/>
        <w:spacing w:before="204" w:after="72" w:line="240" w:lineRule="auto"/>
        <w:ind w:left="420"/>
        <w:textAlignment w:val="baseline"/>
        <w:rPr>
          <w:rFonts w:ascii="Times New Roman" w:eastAsia="Times New Roman" w:hAnsi="Times New Roman" w:cs="Times New Roman"/>
          <w:b/>
          <w:bCs/>
          <w:kern w:val="0"/>
          <w:sz w:val="26"/>
          <w:szCs w:val="26"/>
          <w:lang w:eastAsia="hr-HR"/>
          <w14:ligatures w14:val="none"/>
        </w:rPr>
      </w:pPr>
    </w:p>
    <w:bookmarkEnd w:id="67"/>
    <w:tbl>
      <w:tblPr>
        <w:tblW w:w="10655" w:type="dxa"/>
        <w:jc w:val="center"/>
        <w:shd w:val="clear" w:color="auto" w:fill="FFFFFF"/>
        <w:tblCellMar>
          <w:left w:w="0" w:type="dxa"/>
          <w:right w:w="0" w:type="dxa"/>
        </w:tblCellMar>
        <w:tblLook w:val="04A0" w:firstRow="1" w:lastRow="0" w:firstColumn="1" w:lastColumn="0" w:noHBand="0" w:noVBand="1"/>
      </w:tblPr>
      <w:tblGrid>
        <w:gridCol w:w="385"/>
        <w:gridCol w:w="5468"/>
        <w:gridCol w:w="1738"/>
        <w:gridCol w:w="3064"/>
      </w:tblGrid>
      <w:tr w:rsidR="00702E3C">
        <w:trPr>
          <w:jc w:val="center"/>
        </w:trPr>
        <w:tc>
          <w:tcPr>
            <w:tcW w:w="4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6"/>
                <w:szCs w:val="26"/>
                <w:lang w:eastAsia="hr-HR"/>
                <w14:ligatures w14:val="none"/>
              </w:rPr>
            </w:pPr>
          </w:p>
        </w:tc>
        <w:tc>
          <w:tcPr>
            <w:tcW w:w="54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w:t>
            </w:r>
          </w:p>
        </w:tc>
        <w:tc>
          <w:tcPr>
            <w:tcW w:w="17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Područje održivosti</w:t>
            </w:r>
          </w:p>
        </w:tc>
        <w:tc>
          <w:tcPr>
            <w:tcW w:w="30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 xml:space="preserve">Kod </w:t>
            </w:r>
            <w:r>
              <w:rPr>
                <w:rFonts w:ascii="Times New Roman" w:eastAsia="Times New Roman" w:hAnsi="Times New Roman" w:cs="Times New Roman"/>
                <w:b/>
                <w:bCs/>
                <w:kern w:val="0"/>
                <w:sz w:val="18"/>
                <w:szCs w:val="18"/>
                <w:lang w:eastAsia="hr-HR"/>
                <w14:ligatures w14:val="none"/>
              </w:rPr>
              <w:softHyphen/>
              <w:t>pokazatelja/</w:t>
            </w:r>
            <w:r>
              <w:rPr>
                <w:rFonts w:ascii="Times New Roman" w:eastAsia="Times New Roman" w:hAnsi="Times New Roman" w:cs="Times New Roman"/>
                <w:b/>
                <w:bCs/>
                <w:kern w:val="0"/>
                <w:sz w:val="18"/>
                <w:szCs w:val="18"/>
                <w:lang w:eastAsia="hr-HR"/>
                <w14:ligatures w14:val="none"/>
              </w:rPr>
              <w:br/>
              <w:t>Tematsko područje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Broj turističkih noćenja na stotinu stalnih stanovnika u vrhu turističke sezone</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ZL-1 – zadovoljstvo lokalnog stanovništva turizmom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Zadovoljstvo lokalnog stanovništva turizmom</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ZL-2 – zadovoljstvo lokalnog stanovništva turizmom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3</w:t>
            </w:r>
          </w:p>
        </w:tc>
        <w:tc>
          <w:tcPr>
            <w:tcW w:w="0" w:type="auto"/>
            <w:tcBorders>
              <w:top w:val="single" w:sz="6" w:space="0" w:color="auto"/>
              <w:left w:val="single" w:sz="6" w:space="0" w:color="auto"/>
              <w:bottom w:val="single" w:sz="6" w:space="0" w:color="auto"/>
              <w:right w:val="single" w:sz="6" w:space="0" w:color="auto"/>
            </w:tcBorders>
            <w:shd w:val="clear" w:color="auto" w:fill="83CAE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Zadovoljstvo cjelokupnim boravkom u destinaciji</w:t>
            </w:r>
          </w:p>
        </w:tc>
        <w:tc>
          <w:tcPr>
            <w:tcW w:w="0" w:type="auto"/>
            <w:tcBorders>
              <w:top w:val="single" w:sz="6" w:space="0" w:color="auto"/>
              <w:left w:val="single" w:sz="6" w:space="0" w:color="auto"/>
              <w:bottom w:val="single" w:sz="6" w:space="0" w:color="auto"/>
              <w:right w:val="single" w:sz="6" w:space="0" w:color="auto"/>
            </w:tcBorders>
            <w:shd w:val="clear" w:color="auto" w:fill="83CAE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83CAE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ZT-1 – Zadovoljstvo turista i jednodnevnih posjetitelja destinacijom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4</w:t>
            </w:r>
          </w:p>
        </w:tc>
        <w:tc>
          <w:tcPr>
            <w:tcW w:w="0" w:type="auto"/>
            <w:tcBorders>
              <w:top w:val="single" w:sz="6" w:space="0" w:color="auto"/>
              <w:left w:val="single" w:sz="6" w:space="0" w:color="auto"/>
              <w:bottom w:val="single" w:sz="6" w:space="0" w:color="auto"/>
              <w:right w:val="single" w:sz="6" w:space="0" w:color="auto"/>
            </w:tcBorders>
            <w:shd w:val="clear" w:color="auto" w:fill="45B0E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Udio atrakcija (lokaliteta) pristupačnih osobama s invaliditetom</w:t>
            </w:r>
          </w:p>
        </w:tc>
        <w:tc>
          <w:tcPr>
            <w:tcW w:w="0" w:type="auto"/>
            <w:tcBorders>
              <w:top w:val="single" w:sz="6" w:space="0" w:color="auto"/>
              <w:left w:val="single" w:sz="6" w:space="0" w:color="auto"/>
              <w:bottom w:val="single" w:sz="6" w:space="0" w:color="auto"/>
              <w:right w:val="single" w:sz="6" w:space="0" w:color="auto"/>
            </w:tcBorders>
            <w:shd w:val="clear" w:color="auto" w:fill="45B0E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društveni/ upravljanje</w:t>
            </w:r>
          </w:p>
        </w:tc>
        <w:tc>
          <w:tcPr>
            <w:tcW w:w="0" w:type="auto"/>
            <w:tcBorders>
              <w:top w:val="single" w:sz="6" w:space="0" w:color="auto"/>
              <w:left w:val="single" w:sz="6" w:space="0" w:color="auto"/>
              <w:bottom w:val="single" w:sz="6" w:space="0" w:color="auto"/>
              <w:right w:val="single" w:sz="6" w:space="0" w:color="auto"/>
            </w:tcBorders>
            <w:shd w:val="clear" w:color="auto" w:fill="45B0E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PD-1 – Pristupačnost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w:t>
            </w:r>
          </w:p>
        </w:tc>
        <w:tc>
          <w:tcPr>
            <w:tcW w:w="0" w:type="auto"/>
            <w:tcBorders>
              <w:top w:val="single" w:sz="6" w:space="0" w:color="auto"/>
              <w:left w:val="single" w:sz="6" w:space="0" w:color="auto"/>
              <w:bottom w:val="single" w:sz="6" w:space="0" w:color="auto"/>
              <w:right w:val="single" w:sz="6" w:space="0" w:color="auto"/>
            </w:tcBorders>
            <w:shd w:val="clear" w:color="auto" w:fill="B4C6E7"/>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Broj organiziranih turističkih ambulanti</w:t>
            </w:r>
          </w:p>
        </w:tc>
        <w:tc>
          <w:tcPr>
            <w:tcW w:w="0" w:type="auto"/>
            <w:tcBorders>
              <w:top w:val="single" w:sz="6" w:space="0" w:color="auto"/>
              <w:left w:val="single" w:sz="6" w:space="0" w:color="auto"/>
              <w:bottom w:val="single" w:sz="6" w:space="0" w:color="auto"/>
              <w:right w:val="single" w:sz="6" w:space="0" w:color="auto"/>
            </w:tcBorders>
            <w:shd w:val="clear" w:color="auto" w:fill="B4C6E7"/>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B4C6E7"/>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SD-1 Sigurnost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6</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Omjer potrošnje vode po turističkom noćenju u odnosu na prosječnu potrošnju vode po stalnom stanovniku destinacije (izraženo po osobi i po noćenju</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UVR-1 – Upravljanje vodnim resursima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7</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Omjer količine komunalnog otpada nastale po noćenju turista i količine otpada koje generira stanovništvo u destinaciji (tone)</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GO-1 – Gospodarenje otpadom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8</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Udio zaštićenih područja u destinaciji u ukupnoj površini destinacije (ukupno i pojedinačno po kategoriji zaštite)</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okolišni – priroda</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BR-1 – Zaštita bioraznolikosti</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9</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Omjer potrošnje električne energije po turističkom noćenju u odnosu na potrošnju električne energije stalnog stanovništva destinacije</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okolišni – klima</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UEN-1 – Održivo upravljanje energijom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10</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Uspostavljen sustav za prilagodbu klimatskim promjenama i procjenu rizika</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okolišni – klima</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UPK-1 – Ublažavanje i prilagodba klimatskim promjena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11</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Ukupan broj dolazaka turista u mjesecu s najvećim opterećenjem</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TP-1 – Turistički promet</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12</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Prosječna duljina boravka turista u destinaciji</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TP-2 – Turistički promet</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13</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Ukupan broj zaposlenih u djelatnostima pružanja smještaja te pripreme i usluživanja hrane</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PGS-1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14</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Poslovni prihod gospodarskih subjekata (obveznika poreza na dobit) u djelatnostima pružanja smještaja te pripreme i usluživanja hrane</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PGS-2 – Poslovanje gospodarskih subjekata u turizmu/ Turistički promet</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15</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Identifikacija i klasifikacija turističkih atrakcija</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TI-1 – turistička infrastruktura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16</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Status implementacije aktivnosti iz plan upravljanja destinacijom</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OUD-1 – Održivo upravljanje destinacijom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17</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Broj ostvarenih noćenja u smještaju u destinaciji po hektaru izrađenog građevinskog područja JLS</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OUP-2 – Održivo upravljanje prostorom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4B1C83">
      <w:pPr>
        <w:pStyle w:val="Naslov2"/>
        <w:numPr>
          <w:ilvl w:val="1"/>
          <w:numId w:val="1"/>
        </w:numPr>
        <w:rPr>
          <w:rFonts w:ascii="Times New Roman" w:eastAsia="Times New Roman" w:hAnsi="Times New Roman" w:cs="Times New Roman"/>
          <w:color w:val="54A021" w:themeColor="accent2"/>
          <w:lang w:eastAsia="hr-HR"/>
        </w:rPr>
      </w:pPr>
      <w:bookmarkStart w:id="68" w:name="_Toc217040698"/>
      <w:r>
        <w:rPr>
          <w:rFonts w:ascii="Times New Roman" w:eastAsia="Times New Roman" w:hAnsi="Times New Roman" w:cs="Times New Roman"/>
          <w:color w:val="54A021" w:themeColor="accent2"/>
          <w:lang w:eastAsia="hr-HR"/>
        </w:rPr>
        <w:t>Popis i metodološka tablica specifičnih pokazatelja održivosti</w:t>
      </w:r>
      <w:bookmarkEnd w:id="68"/>
      <w:r>
        <w:rPr>
          <w:rFonts w:ascii="Times New Roman" w:eastAsia="Times New Roman" w:hAnsi="Times New Roman" w:cs="Times New Roman"/>
          <w:color w:val="54A021" w:themeColor="accent2"/>
          <w:lang w:eastAsia="hr-HR"/>
        </w:rPr>
        <w:t xml:space="preserve"> </w:t>
      </w:r>
    </w:p>
    <w:tbl>
      <w:tblPr>
        <w:tblW w:w="10660" w:type="dxa"/>
        <w:jc w:val="center"/>
        <w:shd w:val="clear" w:color="auto" w:fill="FFFFFF"/>
        <w:tblCellMar>
          <w:left w:w="0" w:type="dxa"/>
          <w:right w:w="0" w:type="dxa"/>
        </w:tblCellMar>
        <w:tblLook w:val="04A0" w:firstRow="1" w:lastRow="0" w:firstColumn="1" w:lastColumn="0" w:noHBand="0" w:noVBand="1"/>
      </w:tblPr>
      <w:tblGrid>
        <w:gridCol w:w="392"/>
        <w:gridCol w:w="5693"/>
        <w:gridCol w:w="1870"/>
        <w:gridCol w:w="2705"/>
      </w:tblGrid>
      <w:tr w:rsidR="00702E3C">
        <w:trPr>
          <w:jc w:val="center"/>
        </w:trPr>
        <w:tc>
          <w:tcPr>
            <w:tcW w:w="3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58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w:t>
            </w:r>
          </w:p>
        </w:tc>
        <w:tc>
          <w:tcPr>
            <w:tcW w:w="179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Područje održivosti</w:t>
            </w:r>
          </w:p>
        </w:tc>
        <w:tc>
          <w:tcPr>
            <w:tcW w:w="227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Kod pokazatelja / Tematsko područje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Utjecaj turizma na kvalitetu života lokalnog stanovništva</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SZL-1 – zadovoljstvo lokalnog stanovništva turizmom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stanovnika koji imaju pozitivno odnosno negativno mišljenje o utjecaju turizma na identitet mjesta</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SZL-3 – zadovoljstvo lokalnog stanovništva turizmom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stanovnika pod umjerenim ili visokim stresom od turizma</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SZL-4 – zadovoljstvo lokalnog stanovništva turizmom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Promjena broja stanovnika u zadnjih pet godina u odnosu na promjenu broja turističkih noćenja</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SZL-5 – zadovoljstvo lokalnog stanovništva turizmom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5</w:t>
            </w:r>
          </w:p>
        </w:tc>
        <w:tc>
          <w:tcPr>
            <w:tcW w:w="0" w:type="auto"/>
            <w:tcBorders>
              <w:top w:val="single" w:sz="6" w:space="0" w:color="auto"/>
              <w:left w:val="single" w:sz="6" w:space="0" w:color="auto"/>
              <w:bottom w:val="single" w:sz="6" w:space="0" w:color="auto"/>
              <w:right w:val="single" w:sz="6" w:space="0" w:color="auto"/>
            </w:tcBorders>
            <w:shd w:val="clear" w:color="auto" w:fill="B4C6E7"/>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 ponovljenih/stalnih turista u smještajnim objektima destinacije</w:t>
            </w:r>
          </w:p>
        </w:tc>
        <w:tc>
          <w:tcPr>
            <w:tcW w:w="0" w:type="auto"/>
            <w:tcBorders>
              <w:top w:val="single" w:sz="6" w:space="0" w:color="auto"/>
              <w:left w:val="single" w:sz="6" w:space="0" w:color="auto"/>
              <w:bottom w:val="single" w:sz="6" w:space="0" w:color="auto"/>
              <w:right w:val="single" w:sz="6" w:space="0" w:color="auto"/>
            </w:tcBorders>
            <w:shd w:val="clear" w:color="auto" w:fill="B4C6E7"/>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B4C6E7"/>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SZT-1 – Zadovoljstvo turista i jednodnevnih posjetitelja destinacijom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6</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pristupačnih smještajnih jedinica u destinaciji</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SPD-1 – Zadovoljstvo turista i jednodnevnih posjetitelja destinacijom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7</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Javno dostupne informacije o atrakcijama u turističkim i informativnim centrima</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SPD-2 – Pristupačnost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8</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 pristupačnih linija javnog prijevoza u destinaciji za osobe s invaliditetom</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8EA9DB"/>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SPD-3 – Pristupačnost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9</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Ukupan broj kaznenih djela i prekršaja prijavljenih policiji po mjesecima</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SSD-1 Sigurnost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10</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turista koji su uložili prigovor kod policije</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SSD-2 Sigurnost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11</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Sigurnosne mjere kao što su stanice prve pomoći na plažama/lokalitetima turističkih atrakcija</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SSD-3 Sigurnost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12</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prometnih nesreća sa smrtnim ishodom na 1000 noćenja (turista i lokalne zajednice)</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SSD-4 Sigurnost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13</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podnesenih prijava zbog buke uzrokovane turističkim aktivnostima</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SSD-5 Sigurnost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14</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Remećenje javnog reda i mira prouzrokovano turističkoj aktivnosti</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društveni</w:t>
            </w:r>
          </w:p>
        </w:tc>
        <w:tc>
          <w:tcPr>
            <w:tcW w:w="0" w:type="auto"/>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SSD-6 Sigurnost destinacije</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15</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turističkih poslovnih subjekata koji poduzimaju akcije za smanjenje potrošnje vode</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SUVR-1 – Upravljanje vodnim resursima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16</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Sustav za pravovremenu reakciju na probleme s kvalitetom vode</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SUVR-2 – Upravljanje vodnim resursima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17</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turističkih poslovnih subjekata koji koriste recikliranu vodu</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SGOV-1 – Gospodarenje otpadnim vodama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18</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otpadnih voda od noćenja turista u smještajnim objektima destinacije</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SGOV-2 – Gospodarenje otpadni m vodama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19</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Propisi za postavljanje, održavanje i ispitivanje ispusta iz septičkih jama i sustava za pročišćavanje otpadnih voda i dokazi o njihovoj provedbi</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SGOV-3 – Gospodarenje otpadnim vodama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otpadnih voda destinacije tretiranih do najmanje sekundarne razine prije ispuštanja</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D9F2D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SGOV-4 – Gospodarenje otpadnim vodama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21</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komunalnog otpada iz turističkih djelatnosti u odnosu na ukupni komunalni otpad destinacije</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SGO-1 – Gospodarenje otpadom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22</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turističkih poslovnih subjekata koji razdvajaju različite vrste otpada</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SGO-2 – Gospodarenje otpadom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23</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Količina recikliranog otpada (postotak ili po stanovniku po godini)</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SGO-3 – Gospodarenje otpadom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24</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Plan gospodarenja otpadom s ciljevima za smanjenje i održivo odlaganje</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SGO-4 – Gospodarenje otpadom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25</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Sprječavanje stvaranja otpada: plan smanjenja količine otpada od posluživanja hrane</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w:t>
            </w:r>
          </w:p>
        </w:tc>
        <w:tc>
          <w:tcPr>
            <w:tcW w:w="0" w:type="auto"/>
            <w:tcBorders>
              <w:top w:val="single" w:sz="6" w:space="0" w:color="auto"/>
              <w:left w:val="single" w:sz="6" w:space="0" w:color="auto"/>
              <w:bottom w:val="single" w:sz="6" w:space="0" w:color="auto"/>
              <w:right w:val="single" w:sz="6" w:space="0" w:color="auto"/>
            </w:tcBorders>
            <w:shd w:val="clear" w:color="auto" w:fill="B3E5A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SGO-5 – Gospodarenje otpadom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26</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Razvijen sustav za zaštitu prirodne i kulturne baštine i lokaliteta</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 – priroda</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SZB-1 – Zaštita bioraznolikosti</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27</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Dostupne smjernice za ponašanje posjetitelja u destinaciji</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 – priroda</w:t>
            </w:r>
          </w:p>
        </w:tc>
        <w:tc>
          <w:tcPr>
            <w:tcW w:w="0" w:type="auto"/>
            <w:tcBorders>
              <w:top w:val="single" w:sz="6" w:space="0" w:color="auto"/>
              <w:left w:val="single" w:sz="6" w:space="0" w:color="auto"/>
              <w:bottom w:val="single" w:sz="6" w:space="0" w:color="auto"/>
              <w:right w:val="single" w:sz="6" w:space="0" w:color="auto"/>
            </w:tcBorders>
            <w:shd w:val="clear" w:color="auto" w:fill="8DD87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SZB-2 – Zaštita bioraznolikosti</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28</w:t>
            </w: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turističkih poslovnih subjekata koji su implementirali neka od rješenja za ublažavanje i prilagodbu klimatskim promjenama</w:t>
            </w: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 – klima</w:t>
            </w: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SOE-1 – Održivo upravljanje energijom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29</w:t>
            </w: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 turista i jednodnevnih posjetitelja koji koriste različita prometna sredstva za dolazak na odredište (javna/privatna i vrsta)</w:t>
            </w: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 – klima</w:t>
            </w: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SOE-2 – Održivo upravljanje energijom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30</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Uspostavljene politike i/ili sustav za poticanje smanjena ovisnosti o fosilnim gorivima, poboljšanja energetske učinkovitosti i unapređenja korištenja tehnologija obnovljive energije</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 – klima</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SUPK-1 – Ublažavanje i prilagodba klimatskih promjena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31</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Razina onečišćenosti zraka u destinaciji</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 – klima</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SUPK-2 – Ublažavanje i prilagodba klimatskih promjena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32</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turističkih poslovnih subjekata u destinaciji koji koriste lokalno proizvedenu hranu, piće, dobra i usluge u turističkim poslovnim subjektima u destinaciji</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okolišni – klima</w:t>
            </w:r>
          </w:p>
        </w:tc>
        <w:tc>
          <w:tcPr>
            <w:tcW w:w="0" w:type="auto"/>
            <w:tcBorders>
              <w:top w:val="single" w:sz="6" w:space="0" w:color="auto"/>
              <w:left w:val="single" w:sz="6" w:space="0" w:color="auto"/>
              <w:bottom w:val="single" w:sz="6" w:space="0" w:color="auto"/>
              <w:right w:val="single" w:sz="6" w:space="0" w:color="auto"/>
            </w:tcBorders>
            <w:shd w:val="clear" w:color="auto" w:fill="00B05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SUPK-3 – Ublažavanje i prilagodba klimatskih promjena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33</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Stopa popunjenosti u smještajnim kapacitetima</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STP-1 – Turistički promet</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34</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Prosječna dnevna potrošnja turista u eurima</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EADB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STP-2 – Turistički promet</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35</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Produktivnost rada u Području I Djelatnost pružanja smještaja te pripreme i usluživanja</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SPGS-1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36</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Bruto dodana vrijednost ostvarena u području I Djelatnost pružanja smještaja te pripreme i usluživanja</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SPGS-2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37</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malih i srednjih poduzeća u ukupnom broju poduzeća u području I Djelatnost pružanja smještaja te pripreme i usluživanja hrane</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SPGS-3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38</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poslovnih subjekata u području I Djelatnost pružanja smještaja te pripreme i usluživanja hrane koja su u pretežitom domaćem vlasništvu</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SPGS-4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39</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 muškaraca i žena zaposlenih u području I Djelatnost pružanja smještaja te pripreme i usluživanja hrane</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SPGS-5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40</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Zaposlenost u području I Djelatnost pružanja smještaja te pripreme i usluživanja hrane prema dobi, stupnju obrazovanja te vrsti ugovora</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SPGS-6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41</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 nedomicilnih radnika zaposlenih u području I Djelatnost pružanja smještaja te pripreme i usluživanja hrane</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ekonomski</w:t>
            </w:r>
          </w:p>
        </w:tc>
        <w:tc>
          <w:tcPr>
            <w:tcW w:w="0" w:type="auto"/>
            <w:tcBorders>
              <w:top w:val="single" w:sz="6" w:space="0" w:color="auto"/>
              <w:left w:val="single" w:sz="6" w:space="0" w:color="auto"/>
              <w:bottom w:val="single" w:sz="6" w:space="0" w:color="auto"/>
              <w:right w:val="single" w:sz="6" w:space="0" w:color="auto"/>
            </w:tcBorders>
            <w:shd w:val="clear" w:color="auto" w:fill="F6DAE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SPGS-7 – Poslovanje gospodarskih subjekata u turizmu</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42</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ugostiteljskih objekata koji poslužuju hranu aktivnih na 30.1. i 30.7 u odnosu na 100 stanovnika</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STI-1 – turistička infrastruktura</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43</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Javno dostupan plan odgovora na krizne situacije i izvanredne situacije koji razmatra sektor turizma</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SOUD-1 – Održivo upravljanje destinacijom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44</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Specifična strategija za marketing izvansezonskih događanja i privlačenje posjetitelja tijekom cijele godine</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SOUD-2 – Održivo upravljanje destinacijom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45</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Efikasnost ostvarenja ciljeva strateškog planiranja u turizmu</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6C5AC"/>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SOUD-3 – Održivo upravljanje destinacijom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46</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kuća i stanova za odmor na 100 objekata u kojima se stalno živi</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SOUP-1 – Održivo upravljanje prostorom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47</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Smjernice, propisi i/ili politike koje se odnose na održivo korištenje prostora</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SOUP-2 – Održivo upravljanje prostorom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48</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Razvijen i implementiran sustav praćenja i ublažavanja utjecaja turizma na atrakcije</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SOUP-3 – Održivo upravljanje prostorom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49</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Izrađene i implementirane smjernice upravljanja prostorom sa ciljem zaštite resursa</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SOUP-4 – Održivo upravljanje prostorom</w:t>
            </w:r>
          </w:p>
        </w:tc>
      </w:tr>
      <w:tr w:rsidR="00702E3C">
        <w:trPr>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50</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Procjena pritiska razvoja turizma na kulturnu baštinu</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prostorni/upravljanje</w:t>
            </w:r>
          </w:p>
        </w:tc>
        <w:tc>
          <w:tcPr>
            <w:tcW w:w="0" w:type="auto"/>
            <w:tcBorders>
              <w:top w:val="single" w:sz="6" w:space="0" w:color="auto"/>
              <w:left w:val="single" w:sz="6" w:space="0" w:color="auto"/>
              <w:bottom w:val="single" w:sz="6" w:space="0" w:color="auto"/>
              <w:right w:val="single" w:sz="6" w:space="0" w:color="auto"/>
            </w:tcBorders>
            <w:shd w:val="clear" w:color="auto" w:fill="FAE2D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SOUP-5 – Održivo upravljanje prostorom</w:t>
            </w: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pStyle w:val="Naslov2"/>
        <w:rPr>
          <w:rFonts w:ascii="Times New Roman" w:eastAsia="Times New Roman" w:hAnsi="Times New Roman" w:cs="Times New Roman"/>
          <w:lang w:eastAsia="hr-HR"/>
        </w:rPr>
      </w:pPr>
      <w:bookmarkStart w:id="69" w:name="_Toc217040699"/>
      <w:r>
        <w:rPr>
          <w:rFonts w:ascii="Times New Roman" w:eastAsia="Times New Roman" w:hAnsi="Times New Roman" w:cs="Times New Roman"/>
          <w:lang w:eastAsia="hr-HR"/>
        </w:rPr>
        <w:t>5.2. Praćenje održivosti</w:t>
      </w:r>
      <w:bookmarkEnd w:id="69"/>
      <w:r>
        <w:rPr>
          <w:rFonts w:ascii="Times New Roman" w:eastAsia="Times New Roman" w:hAnsi="Times New Roman" w:cs="Times New Roman"/>
          <w:lang w:eastAsia="hr-HR"/>
        </w:rPr>
        <w:t xml:space="preserve"> </w:t>
      </w:r>
    </w:p>
    <w:p w:rsidR="00702E3C" w:rsidRDefault="004B1C83">
      <w:pPr>
        <w:spacing w:line="360" w:lineRule="auto"/>
        <w:jc w:val="both"/>
        <w:rPr>
          <w:rFonts w:ascii="Times New Roman" w:hAnsi="Times New Roman" w:cs="Times New Roman"/>
          <w:lang w:eastAsia="hr-HR"/>
        </w:rPr>
      </w:pPr>
      <w:r>
        <w:rPr>
          <w:rFonts w:ascii="Times New Roman" w:hAnsi="Times New Roman" w:cs="Times New Roman"/>
          <w:lang w:eastAsia="hr-HR"/>
        </w:rPr>
        <w:t>Praćenje pokazatelja provodit će TZ Dugi otok u suradnji s JLS Sali i relevantnim institucijama, uz izradu godišnjeg izvješća. Sustav će se postupno digitalizirati i uskladiti s EU inicijativama (ETIS, GSTC).</w:t>
      </w:r>
    </w:p>
    <w:p w:rsidR="00702E3C" w:rsidRDefault="004B1C83">
      <w:pPr>
        <w:tabs>
          <w:tab w:val="left" w:pos="2320"/>
        </w:tabs>
        <w:rPr>
          <w:rFonts w:ascii="Times New Roman" w:eastAsia="Times New Roman" w:hAnsi="Times New Roman" w:cs="Times New Roman"/>
          <w:sz w:val="24"/>
          <w:szCs w:val="24"/>
          <w:lang w:eastAsia="hr-HR"/>
        </w:rPr>
        <w:sectPr w:rsidR="00702E3C">
          <w:footerReference w:type="default" r:id="rId20"/>
          <w:pgSz w:w="11906" w:h="16838"/>
          <w:pgMar w:top="1417" w:right="1417" w:bottom="1417" w:left="1417" w:header="708" w:footer="708" w:gutter="0"/>
          <w:cols w:space="708"/>
          <w:docGrid w:linePitch="360"/>
        </w:sectPr>
      </w:pPr>
      <w:r>
        <w:rPr>
          <w:rFonts w:ascii="Times New Roman" w:eastAsia="Times New Roman" w:hAnsi="Times New Roman" w:cs="Times New Roman"/>
          <w:sz w:val="24"/>
          <w:szCs w:val="24"/>
          <w:lang w:eastAsia="hr-HR"/>
        </w:rPr>
        <w:tab/>
      </w:r>
    </w:p>
    <w:p w:rsidR="00702E3C" w:rsidRDefault="004B1C83">
      <w:pPr>
        <w:pStyle w:val="Naslov1"/>
        <w:numPr>
          <w:ilvl w:val="0"/>
          <w:numId w:val="21"/>
        </w:numPr>
        <w:jc w:val="center"/>
        <w:rPr>
          <w:rFonts w:ascii="Times New Roman" w:eastAsia="Times New Roman" w:hAnsi="Times New Roman" w:cs="Times New Roman"/>
          <w:b/>
          <w:bCs/>
          <w:color w:val="54A021" w:themeColor="accent2"/>
          <w:kern w:val="0"/>
          <w:lang w:eastAsia="hr-HR"/>
          <w14:ligatures w14:val="none"/>
        </w:rPr>
      </w:pPr>
      <w:bookmarkStart w:id="70" w:name="_Toc217040700"/>
      <w:r>
        <w:rPr>
          <w:rFonts w:ascii="Times New Roman" w:hAnsi="Times New Roman" w:cs="Times New Roman"/>
          <w:b/>
          <w:bCs/>
          <w:color w:val="54A021" w:themeColor="accent2"/>
        </w:rPr>
        <w:lastRenderedPageBreak/>
        <w:t>OBVEZNI POKAZATELJI ODRŽIVOSTI KOJI MJERE UTJECAJ TURIZMA NA DRUŠTVENE ASPEKTE ODRŽIVOSTI</w:t>
      </w:r>
      <w:bookmarkEnd w:id="70"/>
    </w:p>
    <w:p w:rsidR="00702E3C" w:rsidRDefault="004B1C83">
      <w:pPr>
        <w:pStyle w:val="Naslov2"/>
        <w:jc w:val="center"/>
        <w:rPr>
          <w:rFonts w:ascii="Times New Roman" w:eastAsia="Times New Roman" w:hAnsi="Times New Roman" w:cs="Times New Roman"/>
          <w:color w:val="54A021" w:themeColor="accent2"/>
          <w:lang w:eastAsia="hr-HR"/>
        </w:rPr>
      </w:pPr>
      <w:bookmarkStart w:id="71" w:name="_Toc217040701"/>
      <w:r>
        <w:rPr>
          <w:rFonts w:ascii="Times New Roman" w:eastAsia="Times New Roman" w:hAnsi="Times New Roman" w:cs="Times New Roman"/>
          <w:color w:val="54A021" w:themeColor="accent2"/>
          <w:lang w:eastAsia="hr-HR"/>
        </w:rPr>
        <w:t>6.1. Zadovoljstvo lokalnog stanovništva turizmom</w:t>
      </w:r>
      <w:bookmarkEnd w:id="71"/>
    </w:p>
    <w:tbl>
      <w:tblPr>
        <w:tblStyle w:val="Reetkatablice"/>
        <w:tblW w:w="14312" w:type="dxa"/>
        <w:jc w:val="center"/>
        <w:tblLook w:val="04A0" w:firstRow="1" w:lastRow="0" w:firstColumn="1" w:lastColumn="0" w:noHBand="0" w:noVBand="1"/>
      </w:tblPr>
      <w:tblGrid>
        <w:gridCol w:w="1413"/>
        <w:gridCol w:w="3969"/>
        <w:gridCol w:w="3133"/>
        <w:gridCol w:w="2830"/>
        <w:gridCol w:w="2967"/>
      </w:tblGrid>
      <w:tr w:rsidR="00702E3C">
        <w:trPr>
          <w:jc w:val="center"/>
        </w:trPr>
        <w:tc>
          <w:tcPr>
            <w:tcW w:w="1413" w:type="dxa"/>
            <w:shd w:val="clear" w:color="auto" w:fill="C1E4F5"/>
          </w:tcPr>
          <w:p w:rsidR="00702E3C" w:rsidRDefault="004B1C83">
            <w:pPr>
              <w:spacing w:after="0" w:line="360" w:lineRule="auto"/>
              <w:jc w:val="both"/>
              <w:rPr>
                <w:rFonts w:ascii="Times New Roman" w:hAnsi="Times New Roman" w:cs="Times New Roman"/>
                <w:b/>
                <w:bCs/>
                <w:sz w:val="20"/>
                <w:szCs w:val="20"/>
              </w:rPr>
            </w:pPr>
            <w:bookmarkStart w:id="72" w:name="_Hlk204520358"/>
            <w:r>
              <w:rPr>
                <w:rFonts w:ascii="Times New Roman" w:hAnsi="Times New Roman" w:cs="Times New Roman"/>
                <w:b/>
                <w:bCs/>
                <w:sz w:val="20"/>
                <w:szCs w:val="20"/>
              </w:rPr>
              <w:t>Pokazatelj</w:t>
            </w:r>
          </w:p>
          <w:p w:rsidR="00702E3C" w:rsidRDefault="004B1C83">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Kod pokazatelja</w:t>
            </w:r>
          </w:p>
        </w:tc>
        <w:tc>
          <w:tcPr>
            <w:tcW w:w="12899" w:type="dxa"/>
            <w:gridSpan w:val="4"/>
            <w:shd w:val="clear" w:color="auto" w:fill="C1E4F5"/>
          </w:tcPr>
          <w:p w:rsidR="00702E3C" w:rsidRDefault="00702E3C">
            <w:pPr>
              <w:spacing w:after="0" w:line="360" w:lineRule="auto"/>
              <w:jc w:val="both"/>
              <w:rPr>
                <w:rFonts w:ascii="Times New Roman" w:hAnsi="Times New Roman" w:cs="Times New Roman"/>
                <w:b/>
                <w:bCs/>
                <w:sz w:val="20"/>
                <w:szCs w:val="20"/>
              </w:rPr>
            </w:pPr>
          </w:p>
          <w:p w:rsidR="00702E3C" w:rsidRDefault="004B1C83">
            <w:pPr>
              <w:pStyle w:val="Naslov3"/>
              <w:numPr>
                <w:ilvl w:val="2"/>
                <w:numId w:val="21"/>
              </w:numPr>
              <w:spacing w:line="240" w:lineRule="auto"/>
              <w:jc w:val="center"/>
              <w:rPr>
                <w:rFonts w:ascii="Times New Roman" w:hAnsi="Times New Roman" w:cs="Times New Roman"/>
              </w:rPr>
            </w:pPr>
            <w:bookmarkStart w:id="73" w:name="_Toc217040702"/>
            <w:r>
              <w:rPr>
                <w:rFonts w:ascii="Times New Roman" w:hAnsi="Times New Roman" w:cs="Times New Roman"/>
              </w:rPr>
              <w:t>Broj turističkih noćenja na stotinu stalnih stanovnika u vrhu turističke sezone  (ZL-1)</w:t>
            </w:r>
            <w:bookmarkEnd w:id="73"/>
          </w:p>
        </w:tc>
      </w:tr>
      <w:tr w:rsidR="00702E3C">
        <w:trPr>
          <w:jc w:val="center"/>
        </w:trPr>
        <w:tc>
          <w:tcPr>
            <w:tcW w:w="1413" w:type="dxa"/>
            <w:vMerge w:val="restart"/>
            <w:shd w:val="clear" w:color="auto" w:fill="E9F6D0" w:themeFill="accent1" w:themeFillTint="3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pokazatelja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sa sustavima</w:t>
            </w:r>
          </w:p>
        </w:tc>
        <w:tc>
          <w:tcPr>
            <w:tcW w:w="3969"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pokazatelja s međunarodnim sustavima</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UN TOURISM – MST/ European Tourism Indicator System (u daljnjem tekstu: ETIS) (prilagodba) – Broj turista/jednodnevnih posjetitelja na 100 stanovnika</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sa Zakonom o turizmu</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Članak 14. stavak 2. Zakona o turizmu – zadovoljstvo lokalnog stanovništva turizmom, održivo upravljanje prostorom</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s ciljevima Ujedinjenih naroda za održivi razvoj (Sustainable Development Goals, u daljnjem tekstu: SDG)</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11 – Održivi gradovi i zajednice</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12 – Odgovorna potrošnja i proizvodnja</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sa Strategijom razvoja održivog turizma do 2030. (Narodne novine, br. 2/23; u daljnjem tekstu: Strategija) i Nacionalnim planom razvoja održivog turizma do 2027. godine (u daljnjem tekstu: Nacionalni plan)</w:t>
            </w:r>
          </w:p>
        </w:tc>
        <w:tc>
          <w:tcPr>
            <w:tcW w:w="8930" w:type="dxa"/>
            <w:gridSpan w:val="3"/>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Strateški cilj: Turizam uz očuvan okoliš, prostor i klimu</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Posebni cilj: Smanjenje negativnog utjecaja turizma na sastavnice okoliša, prirodu i prostor</w:t>
            </w:r>
          </w:p>
        </w:tc>
      </w:tr>
      <w:tr w:rsidR="00702E3C">
        <w:trPr>
          <w:jc w:val="center"/>
        </w:trPr>
        <w:tc>
          <w:tcPr>
            <w:tcW w:w="1413" w:type="dxa"/>
            <w:vMerge w:val="restart"/>
            <w:shd w:val="clear" w:color="auto" w:fill="D4ECA1" w:themeFill="accent1" w:themeFillTint="66"/>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Obilježja pokazatelja</w:t>
            </w:r>
          </w:p>
        </w:tc>
        <w:tc>
          <w:tcPr>
            <w:tcW w:w="3969"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Definicija</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Pokazateljem se definira ukupan broj ostvarenih turističkih noćenja u destinaciji u odnosu na stotinu stalnih stanovnika u vršnom mjesecu koji se smatra glavnom turističkom sezonom što ujedno podrazumijeva i najveće opterećenje kako u kontekstu infrastrukture tako i u društvenom.</w:t>
            </w:r>
          </w:p>
        </w:tc>
      </w:tr>
      <w:tr w:rsidR="00702E3C">
        <w:trPr>
          <w:jc w:val="center"/>
        </w:trPr>
        <w:tc>
          <w:tcPr>
            <w:tcW w:w="1413" w:type="dxa"/>
            <w:vMerge/>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Opis</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Ovim pokazateljem se nastoji procijeniti tzv. intenzitet turizma, odnosno razina objektivnog opterećenja koju turizam u periodu glavne turističke sezone stvara po lokalno stanovništvo, ali i prostor te infrastrukturu. Valja </w:t>
            </w:r>
            <w:r>
              <w:rPr>
                <w:rFonts w:ascii="Times New Roman" w:hAnsi="Times New Roman" w:cs="Times New Roman"/>
                <w:sz w:val="20"/>
                <w:szCs w:val="20"/>
              </w:rPr>
              <w:lastRenderedPageBreak/>
              <w:t>uočiti postojanje razlike između ovog pokazatelja, koji se može smatrati objektivnim, u odnosu na različite pokazatelje dojma koji lokalno stanovništvo ima o turizma, koji se s druge strane mogu smatrati subjektivnim pokazateljima.</w:t>
            </w:r>
          </w:p>
        </w:tc>
      </w:tr>
      <w:tr w:rsidR="00702E3C">
        <w:trPr>
          <w:jc w:val="center"/>
        </w:trPr>
        <w:tc>
          <w:tcPr>
            <w:tcW w:w="1413" w:type="dxa"/>
            <w:vMerge w:val="restart"/>
            <w:shd w:val="clear" w:color="auto" w:fill="BFE373" w:themeFill="accent1" w:themeFillTint="99"/>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Podatci</w:t>
            </w: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Naziv podataka</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Noćenje turista predstavlja svaku registriranu noć posjetitelja u objektu koji pruža uslugu smještaja. Stalnim stanovnikom se smatra osoba koja ima prebivalište ili boravište na lokaciji turističke destinacije.</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Mjerna jedinica</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Registrirano noćenje u smještajnom objektu. Stalni stanovnik destinacije.</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Izvor podataka/potencijalni izvor</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eVisitor;</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DZS, Statistika u nizu »Gradovi u statistici« (https://podaci.dzs.hr/media/bz5hplcj/gradovi-u-statistici.xlsx) PC-Axis baza podatka Turizam, Intenzitet turizma, PX-Web – informacije (dzs.hr)</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Dostupnost podataka i podatkovni jaz</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Podaci su dostupni</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969"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Periodičnost prikupljanja podataka</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Podaci su kontinuirano dostupni na godišnjoj razini.</w:t>
            </w:r>
          </w:p>
        </w:tc>
      </w:tr>
      <w:tr w:rsidR="00702E3C">
        <w:trPr>
          <w:jc w:val="center"/>
        </w:trPr>
        <w:tc>
          <w:tcPr>
            <w:tcW w:w="5382" w:type="dxa"/>
            <w:gridSpan w:val="2"/>
            <w:shd w:val="clear" w:color="auto" w:fill="C1E4F5"/>
          </w:tcPr>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Metodologija izračuna pokazatelja</w:t>
            </w:r>
          </w:p>
        </w:tc>
        <w:tc>
          <w:tcPr>
            <w:tcW w:w="8930"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Broj turističkih noćenja na stotinu stalnih stanovnika</w:t>
            </w:r>
          </w:p>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m:oMathPara>
              <m:oMath>
                <m:r>
                  <m:rPr>
                    <m:sty m:val="p"/>
                  </m:rPr>
                  <w:rPr>
                    <w:rFonts w:ascii="Cambria Math" w:hAnsi="Cambria Math" w:cs="Times New Roman"/>
                    <w:sz w:val="20"/>
                    <w:szCs w:val="20"/>
                  </w:rPr>
                  <m:t>pokazatelj =</m:t>
                </m:r>
                <m:f>
                  <m:fPr>
                    <m:ctrlPr>
                      <w:rPr>
                        <w:rFonts w:ascii="Cambria Math" w:hAnsi="Cambria Math" w:cs="Times New Roman"/>
                        <w:sz w:val="20"/>
                        <w:szCs w:val="20"/>
                      </w:rPr>
                    </m:ctrlPr>
                  </m:fPr>
                  <m:num>
                    <m:r>
                      <m:rPr>
                        <m:sty m:val="p"/>
                      </m:rPr>
                      <w:rPr>
                        <w:rFonts w:ascii="Cambria Math" w:hAnsi="Cambria Math" w:cs="Times New Roman"/>
                        <w:sz w:val="20"/>
                        <w:szCs w:val="20"/>
                      </w:rPr>
                      <m:t>ukupan broj noćenja  turista u vršnom mjesecu</m:t>
                    </m:r>
                  </m:num>
                  <m:den>
                    <m:r>
                      <m:rPr>
                        <m:sty m:val="p"/>
                      </m:rPr>
                      <w:rPr>
                        <w:rFonts w:ascii="Cambria Math" w:hAnsi="Cambria Math" w:cs="Times New Roman"/>
                        <w:sz w:val="20"/>
                        <w:szCs w:val="20"/>
                      </w:rPr>
                      <m:t>broj dana u vršnom mjesecu × broj stalnih stanovnika u destinaciji ÷100</m:t>
                    </m:r>
                  </m:den>
                </m:f>
              </m:oMath>
            </m:oMathPara>
          </w:p>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 pojmom »vršni mjesec« misli se na mjesec u kojem je ostvaren najveći broj noćenja.</w:t>
            </w:r>
          </w:p>
        </w:tc>
      </w:tr>
      <w:tr w:rsidR="00702E3C">
        <w:trPr>
          <w:jc w:val="center"/>
        </w:trPr>
        <w:tc>
          <w:tcPr>
            <w:tcW w:w="5382" w:type="dxa"/>
            <w:gridSpan w:val="2"/>
            <w:shd w:val="clear" w:color="auto" w:fill="FAE0D0" w:themeFill="accent4" w:themeFillTint="33"/>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Učestalost mjerenja</w:t>
            </w:r>
          </w:p>
        </w:tc>
        <w:tc>
          <w:tcPr>
            <w:tcW w:w="8930" w:type="dxa"/>
            <w:gridSpan w:val="3"/>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Jednom godišnje</w:t>
            </w:r>
          </w:p>
        </w:tc>
      </w:tr>
      <w:tr w:rsidR="00702E3C">
        <w:trPr>
          <w:jc w:val="center"/>
        </w:trPr>
        <w:tc>
          <w:tcPr>
            <w:tcW w:w="5382" w:type="dxa"/>
            <w:gridSpan w:val="2"/>
            <w:shd w:val="clear" w:color="auto" w:fill="C1E4F5"/>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Početna vrijednost  (2025.)</w:t>
            </w:r>
          </w:p>
        </w:tc>
        <w:tc>
          <w:tcPr>
            <w:tcW w:w="3133" w:type="dxa"/>
            <w:tcBorders>
              <w:right w:val="dashSmallGap" w:sz="4" w:space="0" w:color="54A021" w:themeColor="accent2"/>
            </w:tcBorders>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2026</w:t>
            </w:r>
          </w:p>
        </w:tc>
        <w:tc>
          <w:tcPr>
            <w:tcW w:w="2830" w:type="dxa"/>
            <w:tcBorders>
              <w:left w:val="dashSmallGap" w:sz="4" w:space="0" w:color="54A021" w:themeColor="accent2"/>
            </w:tcBorders>
          </w:tcPr>
          <w:p w:rsidR="00702E3C" w:rsidRDefault="004B1C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2027</w:t>
            </w:r>
          </w:p>
        </w:tc>
        <w:tc>
          <w:tcPr>
            <w:tcW w:w="2967" w:type="dxa"/>
            <w:tcBorders>
              <w:left w:val="dashSmallGap" w:sz="4" w:space="0" w:color="54A021" w:themeColor="accent2"/>
            </w:tcBorders>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2028</w:t>
            </w:r>
          </w:p>
        </w:tc>
      </w:tr>
      <w:tr w:rsidR="00702E3C">
        <w:trPr>
          <w:jc w:val="center"/>
        </w:trPr>
        <w:tc>
          <w:tcPr>
            <w:tcW w:w="5382" w:type="dxa"/>
            <w:gridSpan w:val="2"/>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121,49</w:t>
            </w:r>
          </w:p>
        </w:tc>
        <w:tc>
          <w:tcPr>
            <w:tcW w:w="3133" w:type="dxa"/>
            <w:tcBorders>
              <w:right w:val="dashSmallGap" w:sz="4" w:space="0" w:color="54A021" w:themeColor="accent2"/>
            </w:tcBorders>
          </w:tcPr>
          <w:p w:rsidR="00702E3C" w:rsidRDefault="00702E3C">
            <w:pPr>
              <w:spacing w:after="0" w:line="360" w:lineRule="auto"/>
              <w:jc w:val="both"/>
              <w:rPr>
                <w:rFonts w:ascii="Times New Roman" w:hAnsi="Times New Roman" w:cs="Times New Roman"/>
                <w:sz w:val="20"/>
                <w:szCs w:val="20"/>
              </w:rPr>
            </w:pPr>
          </w:p>
        </w:tc>
        <w:tc>
          <w:tcPr>
            <w:tcW w:w="2830" w:type="dxa"/>
            <w:tcBorders>
              <w:left w:val="dashSmallGap" w:sz="4" w:space="0" w:color="54A021" w:themeColor="accent2"/>
            </w:tcBorders>
          </w:tcPr>
          <w:p w:rsidR="00702E3C" w:rsidRDefault="00702E3C">
            <w:pPr>
              <w:spacing w:after="0" w:line="240" w:lineRule="auto"/>
              <w:rPr>
                <w:rFonts w:ascii="Times New Roman" w:hAnsi="Times New Roman" w:cs="Times New Roman"/>
                <w:sz w:val="20"/>
                <w:szCs w:val="20"/>
              </w:rPr>
            </w:pPr>
          </w:p>
        </w:tc>
        <w:tc>
          <w:tcPr>
            <w:tcW w:w="2967" w:type="dxa"/>
            <w:tcBorders>
              <w:left w:val="dashSmallGap" w:sz="4" w:space="0" w:color="54A021" w:themeColor="accent2"/>
            </w:tcBorders>
          </w:tcPr>
          <w:p w:rsidR="00702E3C" w:rsidRDefault="00702E3C">
            <w:pPr>
              <w:spacing w:after="0" w:line="360" w:lineRule="auto"/>
              <w:jc w:val="both"/>
              <w:rPr>
                <w:rFonts w:ascii="Times New Roman" w:hAnsi="Times New Roman" w:cs="Times New Roman"/>
                <w:sz w:val="20"/>
                <w:szCs w:val="20"/>
              </w:rPr>
            </w:pPr>
          </w:p>
        </w:tc>
      </w:tr>
      <w:bookmarkEnd w:id="72"/>
    </w:tbl>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rPr>
          <w:rFonts w:ascii="Times New Roman" w:hAnsi="Times New Roman" w:cs="Times New Roman"/>
          <w:sz w:val="20"/>
          <w:szCs w:val="20"/>
        </w:rPr>
      </w:pPr>
    </w:p>
    <w:tbl>
      <w:tblPr>
        <w:tblStyle w:val="Reetkatablice"/>
        <w:tblW w:w="14312" w:type="dxa"/>
        <w:jc w:val="center"/>
        <w:tblLook w:val="04A0" w:firstRow="1" w:lastRow="0" w:firstColumn="1" w:lastColumn="0" w:noHBand="0" w:noVBand="1"/>
      </w:tblPr>
      <w:tblGrid>
        <w:gridCol w:w="1413"/>
        <w:gridCol w:w="3260"/>
        <w:gridCol w:w="3842"/>
        <w:gridCol w:w="2830"/>
        <w:gridCol w:w="2967"/>
      </w:tblGrid>
      <w:tr w:rsidR="00702E3C">
        <w:trPr>
          <w:jc w:val="center"/>
        </w:trPr>
        <w:tc>
          <w:tcPr>
            <w:tcW w:w="1413" w:type="dxa"/>
            <w:shd w:val="clear" w:color="auto" w:fill="C1E4F5"/>
          </w:tcPr>
          <w:p w:rsidR="00702E3C" w:rsidRDefault="004B1C83">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Pokazatelj</w:t>
            </w:r>
          </w:p>
          <w:p w:rsidR="00702E3C" w:rsidRDefault="004B1C83">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Kod pokazatelja</w:t>
            </w:r>
          </w:p>
        </w:tc>
        <w:tc>
          <w:tcPr>
            <w:tcW w:w="12899" w:type="dxa"/>
            <w:gridSpan w:val="4"/>
            <w:shd w:val="clear" w:color="auto" w:fill="C1E4F5"/>
          </w:tcPr>
          <w:p w:rsidR="00702E3C" w:rsidRDefault="00702E3C">
            <w:pPr>
              <w:spacing w:after="0" w:line="360" w:lineRule="auto"/>
              <w:jc w:val="both"/>
              <w:rPr>
                <w:rFonts w:ascii="Times New Roman" w:hAnsi="Times New Roman" w:cs="Times New Roman"/>
                <w:b/>
                <w:bCs/>
                <w:sz w:val="20"/>
                <w:szCs w:val="20"/>
              </w:rPr>
            </w:pPr>
          </w:p>
          <w:p w:rsidR="00702E3C" w:rsidRDefault="004B1C83">
            <w:pPr>
              <w:pStyle w:val="Naslov3"/>
              <w:numPr>
                <w:ilvl w:val="2"/>
                <w:numId w:val="21"/>
              </w:numPr>
              <w:spacing w:line="240" w:lineRule="auto"/>
              <w:jc w:val="center"/>
              <w:rPr>
                <w:rFonts w:ascii="Times New Roman" w:hAnsi="Times New Roman" w:cs="Times New Roman"/>
              </w:rPr>
            </w:pPr>
            <w:bookmarkStart w:id="74" w:name="_Toc217040703"/>
            <w:r>
              <w:rPr>
                <w:rFonts w:ascii="Times New Roman" w:hAnsi="Times New Roman" w:cs="Times New Roman"/>
              </w:rPr>
              <w:t>Zadovoljstvo lokalnog stanovništva turizmom (ZL-2)</w:t>
            </w:r>
            <w:bookmarkEnd w:id="74"/>
          </w:p>
        </w:tc>
      </w:tr>
      <w:tr w:rsidR="00702E3C">
        <w:trPr>
          <w:jc w:val="center"/>
        </w:trPr>
        <w:tc>
          <w:tcPr>
            <w:tcW w:w="1413" w:type="dxa"/>
            <w:vMerge w:val="restart"/>
            <w:shd w:val="clear" w:color="auto" w:fill="E9F6D0" w:themeFill="accent1" w:themeFillTint="3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pokazatelja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sa sustavima</w:t>
            </w:r>
          </w:p>
        </w:tc>
        <w:tc>
          <w:tcPr>
            <w:tcW w:w="3260"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pokazatelja s međunarodnim sustavima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ETIS: C.1.2 Udio lokalnog stanovništva koji su zadovoljni turizmom u destinaciji</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sa Zakonom o turizmu</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Članak 14. stavak 2. Zakona o turizmu – zadovoljstvo lokalnog stanovništva turizmom</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s ciljevima SDG</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3 – Zdravlje i blagostanje</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11 – Održivi gradovi i zajednice</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Povezanost sa Strategijom i </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Nacionalnim planom </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Strateški cilj: Turizam uz očuvan okoliš, prostor i klimu</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Posebni cilj: Smanjenje negativnog utjecaja turizma na sastavnice okoliša, prirodu i prostor</w:t>
            </w:r>
          </w:p>
        </w:tc>
      </w:tr>
      <w:tr w:rsidR="00702E3C">
        <w:trPr>
          <w:jc w:val="center"/>
        </w:trPr>
        <w:tc>
          <w:tcPr>
            <w:tcW w:w="1413" w:type="dxa"/>
            <w:vMerge w:val="restart"/>
            <w:shd w:val="clear" w:color="auto" w:fill="D4ECA1" w:themeFill="accent1" w:themeFillTint="66"/>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Obilježja pokazatelja</w:t>
            </w:r>
          </w:p>
        </w:tc>
        <w:tc>
          <w:tcPr>
            <w:tcW w:w="3260"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Definicija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Pokazatelj predstavlja procjenu udjela (%) stalnih stanovnika koji su zadovoljni turizmom u destinaciji u ukupnom broju stalnih stanovnika u destinaciji.</w:t>
            </w:r>
          </w:p>
        </w:tc>
      </w:tr>
      <w:tr w:rsidR="00702E3C">
        <w:trPr>
          <w:jc w:val="center"/>
        </w:trPr>
        <w:tc>
          <w:tcPr>
            <w:tcW w:w="1413" w:type="dxa"/>
            <w:vMerge/>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Opis</w:t>
            </w:r>
          </w:p>
          <w:p w:rsidR="00702E3C" w:rsidRDefault="00702E3C">
            <w:pPr>
              <w:spacing w:after="0" w:line="360" w:lineRule="auto"/>
              <w:jc w:val="both"/>
              <w:rPr>
                <w:rFonts w:ascii="Times New Roman" w:hAnsi="Times New Roman" w:cs="Times New Roman"/>
                <w:sz w:val="20"/>
                <w:szCs w:val="20"/>
              </w:rPr>
            </w:pP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Zadovoljstvo stanovnika razvojem turizma bitan je cilj održivog upravljanja destinacijom, pri čemu je pozitivan stav stanovnika prema razvoju turizma jedan od ključnih elemenata njegove uspješnosti. Tamo gdje turizam nije podržan može se očekivati otpor stanovnika prema infrastrukturnim ulaganjima. Dodatno, gostoljubivi domaćini jedan su od ključnih faktora u formiranju cjelokupnog zadovoljstva turista posjetom.</w:t>
            </w:r>
          </w:p>
        </w:tc>
      </w:tr>
      <w:tr w:rsidR="00702E3C">
        <w:trPr>
          <w:jc w:val="center"/>
        </w:trPr>
        <w:tc>
          <w:tcPr>
            <w:tcW w:w="1413" w:type="dxa"/>
            <w:vMerge/>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Podpokazatelji</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udio lokalnog stanovništva zadovoljnih turizmom kod onih koji ostvaruju koristi od turizma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udio lokalnog stanovništva zadovoljnih turizmom kod onih koji ne ostvaruju koristi od turizma</w:t>
            </w:r>
          </w:p>
        </w:tc>
      </w:tr>
      <w:tr w:rsidR="00702E3C">
        <w:trPr>
          <w:jc w:val="center"/>
        </w:trPr>
        <w:tc>
          <w:tcPr>
            <w:tcW w:w="1413" w:type="dxa"/>
            <w:vMerge w:val="restart"/>
            <w:shd w:val="clear" w:color="auto" w:fill="BFE373" w:themeFill="accent1" w:themeFillTint="99"/>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Podatci</w:t>
            </w: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Naziv podataka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Zadovoljstvo turizmom u destinaciji</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Mjerna jedinica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Udio (%) ispitanika koji su zadovoljni turizmom u destinaciji</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Izvor podataka/potencijalni izvor</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Anketa lokalnog stanovništva</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Dostupnost podataka i podatkovni jaz</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Podatak nije dostupan, nužno je prikupljanje podataka primarnim istraživanjem</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Periodičnost prikupljanja podataka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Svake dvije godine</w:t>
            </w:r>
          </w:p>
        </w:tc>
      </w:tr>
      <w:tr w:rsidR="00702E3C">
        <w:trPr>
          <w:jc w:val="center"/>
        </w:trPr>
        <w:tc>
          <w:tcPr>
            <w:tcW w:w="4673" w:type="dxa"/>
            <w:gridSpan w:val="2"/>
            <w:shd w:val="clear" w:color="auto" w:fill="C1E4F5"/>
          </w:tcPr>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center"/>
              <w:rPr>
                <w:rFonts w:ascii="Times New Roman" w:hAnsi="Times New Roman" w:cs="Times New Roman"/>
                <w:sz w:val="20"/>
                <w:szCs w:val="20"/>
              </w:rPr>
            </w:pPr>
          </w:p>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Metodologija izračuna pokazatelja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Udio lokalnog stanovništva zadovoljnih turizmom u destinaciji računa se kao omjer broja ispitanika zadovoljnih turizmom i ukupnog broja ispitanika.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Pokazatelj se računa na ukupnom skupu te zasebno na skupu ispitanika koji ostvaruju koristi od turizma i na skupu ispitanika koji ne ostvaruju koristi od turizma.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Udio lokalnog stanovništva zadovoljnih turizmom i udio stanovnika koji ostvaruju koristi od turizma u destinaciji procjenjuje se pitanjima koja su definiran smjernicama za provođenje primarnih istraživanja.</w:t>
            </w:r>
          </w:p>
        </w:tc>
      </w:tr>
      <w:tr w:rsidR="00702E3C">
        <w:trPr>
          <w:jc w:val="center"/>
        </w:trPr>
        <w:tc>
          <w:tcPr>
            <w:tcW w:w="4673" w:type="dxa"/>
            <w:gridSpan w:val="2"/>
            <w:shd w:val="clear" w:color="auto" w:fill="FAE0D0" w:themeFill="accent4" w:themeFillTint="33"/>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Učestalost mjerenja</w:t>
            </w:r>
          </w:p>
        </w:tc>
        <w:tc>
          <w:tcPr>
            <w:tcW w:w="9639" w:type="dxa"/>
            <w:gridSpan w:val="3"/>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Svake dvije godine</w:t>
            </w:r>
          </w:p>
        </w:tc>
      </w:tr>
      <w:tr w:rsidR="00702E3C">
        <w:trPr>
          <w:jc w:val="center"/>
        </w:trPr>
        <w:tc>
          <w:tcPr>
            <w:tcW w:w="4673" w:type="dxa"/>
            <w:gridSpan w:val="2"/>
            <w:shd w:val="clear" w:color="auto" w:fill="C1E4F5"/>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Početna vrijednost  (2025.)</w:t>
            </w:r>
          </w:p>
        </w:tc>
        <w:tc>
          <w:tcPr>
            <w:tcW w:w="3842" w:type="dxa"/>
            <w:tcBorders>
              <w:right w:val="dashSmallGap" w:sz="4" w:space="0" w:color="54A021" w:themeColor="accent2"/>
            </w:tcBorders>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2027</w:t>
            </w:r>
          </w:p>
        </w:tc>
        <w:tc>
          <w:tcPr>
            <w:tcW w:w="2830" w:type="dxa"/>
            <w:tcBorders>
              <w:left w:val="dashSmallGap" w:sz="4" w:space="0" w:color="54A021" w:themeColor="accent2"/>
            </w:tcBorders>
          </w:tcPr>
          <w:p w:rsidR="00702E3C" w:rsidRDefault="004B1C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2029</w:t>
            </w:r>
          </w:p>
        </w:tc>
        <w:tc>
          <w:tcPr>
            <w:tcW w:w="2967" w:type="dxa"/>
            <w:tcBorders>
              <w:left w:val="dashSmallGap" w:sz="4" w:space="0" w:color="54A021" w:themeColor="accent2"/>
            </w:tcBorders>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2031</w:t>
            </w:r>
          </w:p>
        </w:tc>
      </w:tr>
      <w:tr w:rsidR="00702E3C">
        <w:trPr>
          <w:jc w:val="center"/>
        </w:trPr>
        <w:tc>
          <w:tcPr>
            <w:tcW w:w="4673" w:type="dxa"/>
            <w:gridSpan w:val="2"/>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32,47%</w:t>
            </w:r>
          </w:p>
        </w:tc>
        <w:tc>
          <w:tcPr>
            <w:tcW w:w="3842" w:type="dxa"/>
            <w:tcBorders>
              <w:right w:val="dashSmallGap" w:sz="4" w:space="0" w:color="54A021" w:themeColor="accent2"/>
            </w:tcBorders>
          </w:tcPr>
          <w:p w:rsidR="00702E3C" w:rsidRDefault="00702E3C">
            <w:pPr>
              <w:spacing w:after="0" w:line="360" w:lineRule="auto"/>
              <w:jc w:val="both"/>
              <w:rPr>
                <w:rFonts w:ascii="Times New Roman" w:hAnsi="Times New Roman" w:cs="Times New Roman"/>
                <w:sz w:val="20"/>
                <w:szCs w:val="20"/>
              </w:rPr>
            </w:pPr>
          </w:p>
        </w:tc>
        <w:tc>
          <w:tcPr>
            <w:tcW w:w="2830" w:type="dxa"/>
            <w:tcBorders>
              <w:left w:val="dashSmallGap" w:sz="4" w:space="0" w:color="54A021" w:themeColor="accent2"/>
            </w:tcBorders>
          </w:tcPr>
          <w:p w:rsidR="00702E3C" w:rsidRDefault="00702E3C">
            <w:pPr>
              <w:spacing w:after="0" w:line="240" w:lineRule="auto"/>
              <w:rPr>
                <w:rFonts w:ascii="Times New Roman" w:hAnsi="Times New Roman" w:cs="Times New Roman"/>
                <w:sz w:val="20"/>
                <w:szCs w:val="20"/>
              </w:rPr>
            </w:pPr>
          </w:p>
        </w:tc>
        <w:tc>
          <w:tcPr>
            <w:tcW w:w="2967" w:type="dxa"/>
            <w:tcBorders>
              <w:left w:val="dashSmallGap" w:sz="4" w:space="0" w:color="54A021" w:themeColor="accent2"/>
            </w:tcBorders>
          </w:tcPr>
          <w:p w:rsidR="00702E3C" w:rsidRDefault="00702E3C">
            <w:pPr>
              <w:spacing w:after="0" w:line="360" w:lineRule="auto"/>
              <w:jc w:val="both"/>
              <w:rPr>
                <w:rFonts w:ascii="Times New Roman" w:hAnsi="Times New Roman" w:cs="Times New Roman"/>
                <w:sz w:val="20"/>
                <w:szCs w:val="20"/>
              </w:rPr>
            </w:pPr>
          </w:p>
        </w:tc>
      </w:tr>
    </w:tbl>
    <w:p w:rsidR="00702E3C" w:rsidRDefault="00702E3C">
      <w:pPr>
        <w:spacing w:line="360" w:lineRule="auto"/>
        <w:rPr>
          <w:rFonts w:ascii="Times New Roman" w:hAnsi="Times New Roman" w:cs="Times New Roman"/>
          <w:sz w:val="20"/>
          <w:szCs w:val="20"/>
        </w:rPr>
      </w:pPr>
    </w:p>
    <w:p w:rsidR="00702E3C" w:rsidRDefault="004B1C83">
      <w:pPr>
        <w:pStyle w:val="Naslov2"/>
        <w:jc w:val="center"/>
        <w:rPr>
          <w:rFonts w:ascii="Times New Roman" w:hAnsi="Times New Roman" w:cs="Times New Roman"/>
        </w:rPr>
      </w:pPr>
      <w:bookmarkStart w:id="75" w:name="_Toc217040704"/>
      <w:r>
        <w:rPr>
          <w:rFonts w:ascii="Times New Roman" w:hAnsi="Times New Roman" w:cs="Times New Roman"/>
        </w:rPr>
        <w:t>6.2. Zadovoljstvo turista i jednodnevnih posjetitelja destinacijom</w:t>
      </w:r>
      <w:bookmarkEnd w:id="75"/>
    </w:p>
    <w:tbl>
      <w:tblPr>
        <w:tblStyle w:val="Reetkatablice"/>
        <w:tblW w:w="14312" w:type="dxa"/>
        <w:jc w:val="center"/>
        <w:tblLook w:val="04A0" w:firstRow="1" w:lastRow="0" w:firstColumn="1" w:lastColumn="0" w:noHBand="0" w:noVBand="1"/>
      </w:tblPr>
      <w:tblGrid>
        <w:gridCol w:w="1413"/>
        <w:gridCol w:w="3260"/>
        <w:gridCol w:w="3842"/>
        <w:gridCol w:w="2830"/>
        <w:gridCol w:w="2967"/>
      </w:tblGrid>
      <w:tr w:rsidR="00702E3C">
        <w:trPr>
          <w:jc w:val="center"/>
        </w:trPr>
        <w:tc>
          <w:tcPr>
            <w:tcW w:w="1413" w:type="dxa"/>
            <w:shd w:val="clear" w:color="auto" w:fill="C1E4F5"/>
          </w:tcPr>
          <w:p w:rsidR="00702E3C" w:rsidRDefault="004B1C83">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Pokazatelj</w:t>
            </w:r>
          </w:p>
          <w:p w:rsidR="00702E3C" w:rsidRDefault="004B1C83">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Kod pokazatelja</w:t>
            </w:r>
          </w:p>
        </w:tc>
        <w:tc>
          <w:tcPr>
            <w:tcW w:w="12899" w:type="dxa"/>
            <w:gridSpan w:val="4"/>
            <w:shd w:val="clear" w:color="auto" w:fill="C1E4F5"/>
          </w:tcPr>
          <w:p w:rsidR="00702E3C" w:rsidRDefault="004B1C83">
            <w:pPr>
              <w:pStyle w:val="Naslov3"/>
              <w:numPr>
                <w:ilvl w:val="2"/>
                <w:numId w:val="22"/>
              </w:numPr>
              <w:spacing w:line="240" w:lineRule="auto"/>
              <w:jc w:val="center"/>
              <w:rPr>
                <w:rFonts w:ascii="Times New Roman" w:hAnsi="Times New Roman" w:cs="Times New Roman"/>
              </w:rPr>
            </w:pPr>
            <w:bookmarkStart w:id="76" w:name="_Toc217040705"/>
            <w:r>
              <w:rPr>
                <w:rFonts w:ascii="Times New Roman" w:hAnsi="Times New Roman" w:cs="Times New Roman"/>
              </w:rPr>
              <w:t>Zadovoljstvo cjelokupnim boravkom u destinaciji (ZT-1)</w:t>
            </w:r>
            <w:bookmarkEnd w:id="76"/>
          </w:p>
        </w:tc>
      </w:tr>
      <w:tr w:rsidR="00702E3C">
        <w:trPr>
          <w:jc w:val="center"/>
        </w:trPr>
        <w:tc>
          <w:tcPr>
            <w:tcW w:w="1413" w:type="dxa"/>
            <w:vMerge w:val="restart"/>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Povezanost pokazatelja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sa sustavima</w:t>
            </w:r>
          </w:p>
        </w:tc>
        <w:tc>
          <w:tcPr>
            <w:tcW w:w="3260"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pokazatelja s međunarodnim sustavima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UN TOURISM – MST: Ukupno zadovoljstvo posjetitelja s destinacijom</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ETIS A.2.1: Udio posjetitelja koji su zadovoljni svojim cjelokupnim iskustvom u destinaciji</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UN TOURISM – MST: Namjera preporuke destinacije od strane posjetitelja</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sa Zakonom o turizmu</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Članak 14. stavak 2. Zakona o turizmu – Zadovoljstvo turista i jednodnevnih posjetitelja destinacijom</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rPr>
                <w:rFonts w:ascii="Times New Roman" w:hAnsi="Times New Roman" w:cs="Times New Roman"/>
                <w:sz w:val="20"/>
                <w:szCs w:val="20"/>
              </w:rPr>
            </w:pPr>
            <w:r>
              <w:rPr>
                <w:rFonts w:ascii="Times New Roman" w:hAnsi="Times New Roman" w:cs="Times New Roman"/>
                <w:sz w:val="20"/>
                <w:szCs w:val="20"/>
              </w:rPr>
              <w:t>Povezanost s ciljevima SDG</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8 – Uključiv i održiv gospodarski rast, puna zaposlenost i dostojanstven rad za sve</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Cilj 12 – Održiva potrošnja i proizvodnja</w:t>
            </w:r>
          </w:p>
        </w:tc>
      </w:tr>
      <w:tr w:rsidR="00702E3C">
        <w:trPr>
          <w:jc w:val="center"/>
        </w:trPr>
        <w:tc>
          <w:tcPr>
            <w:tcW w:w="1413" w:type="dxa"/>
            <w:vMerge/>
            <w:shd w:val="clear" w:color="auto" w:fill="E9F6D0" w:themeFill="accent1" w:themeFillTint="33"/>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Povezanost sa Strategijom i </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Nacionalnim planom </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Strateški cilj: Cjelogodišnji i regionalno uravnoteženiji turizam</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Posebni cilj: Razvoj vremenski i prostorno ravnomjernije raspoređenog turističkog prometa</w:t>
            </w:r>
          </w:p>
        </w:tc>
      </w:tr>
      <w:tr w:rsidR="00702E3C">
        <w:trPr>
          <w:jc w:val="center"/>
        </w:trPr>
        <w:tc>
          <w:tcPr>
            <w:tcW w:w="1413" w:type="dxa"/>
            <w:vMerge w:val="restart"/>
            <w:shd w:val="clear" w:color="auto" w:fill="D4ECA1" w:themeFill="accent1" w:themeFillTint="66"/>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Obilježja pokazatelja</w:t>
            </w:r>
          </w:p>
        </w:tc>
        <w:tc>
          <w:tcPr>
            <w:tcW w:w="3260"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Definicija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Procjena zadovoljstva turista koji borave u komercijalnim smještajnim objektima i jednodnevnih posjetitelja cjelokupnim boravkom u destinaciji na skali od 0 do 100.</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Procjena neto spremnosti na preporuku na skali od 0 do 100, posebno za turiste koji borave u komercijalnim smještajnim objektima i jednodnevne posjetitelje.</w:t>
            </w:r>
          </w:p>
        </w:tc>
      </w:tr>
      <w:tr w:rsidR="00702E3C">
        <w:trPr>
          <w:jc w:val="center"/>
        </w:trPr>
        <w:tc>
          <w:tcPr>
            <w:tcW w:w="1413" w:type="dxa"/>
            <w:vMerge/>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Opis</w:t>
            </w:r>
          </w:p>
          <w:p w:rsidR="00702E3C" w:rsidRDefault="00702E3C">
            <w:pPr>
              <w:spacing w:after="0" w:line="360" w:lineRule="auto"/>
              <w:jc w:val="both"/>
              <w:rPr>
                <w:rFonts w:ascii="Times New Roman" w:hAnsi="Times New Roman" w:cs="Times New Roman"/>
                <w:sz w:val="20"/>
                <w:szCs w:val="20"/>
              </w:rPr>
            </w:pP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Zadovoljni posjetitelji učinkovit su alat privlačenja novih gostiju te time i stvaranja novih radnih mjesta u destinaciji, a uz to često i dulje borave te generiraju veći prihod u odnosu na posjetitelje koji nisu zadovoljni svojim boravkom u destinaciji. Nadalje, praćenjem zadovoljstva posjetitelja mjere se i prate učinci aktivnosti na unapređenju turističkog proizvoda destinacije.</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Ne postoji jedinstveni standard za procjenu zadovoljstva kupaca. Zadovoljstvo je složeni pokazatelj koji se može mjeriti na različite načine, poput percepcije kvalitete, percepcije vrijednosti, i raskoraka između očekivanog i stvarnog iskustva. Primjenom različitih standarda mjerenja zadovoljstva (koji ujedno predstavljaju različite standarde na koje se kupci referiraju prilikom kupnje) i njihovim integriranjem u jedinstveni pokazatelj u skladu s validiranom metodologijom Američkog indeksa zadovoljstva klijenta (eng. American Customer Satisfaction Index – ACSI) postignut je sveobuhvatniji pristup mjerenju kvalitete cjelokupnog iskustva posjetitelja.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Neto spremnost na preporuku smatra se jednim od glavnih standarda za vrednovanje iskustva korisnika proizvoda/usluga u različitim industrijama, a koristi se i za predviđanje lojalnosti kupaca. Zasniva se na pitanju o vjerojatnosti preporuke proizvoda/usluge rodbini, prijateljima i/ili kolegama. Preporuke rodbine i prijatelja (eng. word of mouth) ujedno su jedan od najvažnijih izvora informacija prilikom odabira destinacije putovanja, te u kombinaciji s pokazateljem o zadovoljstvu daje pravu sliku utiska same destinacije.</w:t>
            </w:r>
          </w:p>
        </w:tc>
      </w:tr>
      <w:tr w:rsidR="00702E3C">
        <w:trPr>
          <w:jc w:val="center"/>
        </w:trPr>
        <w:tc>
          <w:tcPr>
            <w:tcW w:w="1413" w:type="dxa"/>
            <w:vMerge/>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Podpokazatelji</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Udio (%) turista koji borave u ko – mercijalnim smještajnim objektima i jednodnevnih posjetitelja koji su zadovoljni boravkom u destinaciji</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Zadovoljstvo cjelokupnim boravkom u destinaciji u sezoni</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Zadovoljstvo cjelokupnim boravkom u destinaciji u predsezoni ili posezoni</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Neto spremnost na preporuku destinacije u sezoni</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Neto spremnost na preporuku destinacije u predsezoni ili posezoni</w:t>
            </w:r>
          </w:p>
        </w:tc>
      </w:tr>
      <w:tr w:rsidR="00702E3C">
        <w:trPr>
          <w:jc w:val="center"/>
        </w:trPr>
        <w:tc>
          <w:tcPr>
            <w:tcW w:w="1413" w:type="dxa"/>
            <w:vMerge w:val="restart"/>
            <w:shd w:val="clear" w:color="auto" w:fill="BFE373" w:themeFill="accent1" w:themeFillTint="99"/>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Podatci</w:t>
            </w: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Naziv podataka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zadovoljstvo cjelokupnim boravkom u destinaciji</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2. nepotvrđivanje očekivanja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3. usporedba s idealnim boravkom</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4. namjera preporuke destinacije prijateljima, rodbini ili kolegama</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Mjerna jedinica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2. i 3. Prosječna vrijednost zadovoljstva turista i jednodnevnih posjetitelja</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4. Udio (%) promotora (eng. promoters) odnosno onih koji su skloni preporučiti destinaciju</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Izvor podataka/potencijalni izvor</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2., 3. i 4. Anketa turista i jednodnevnih posjetitelja</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Dostupnost podataka i podatkovni jaz</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1., 2., 3. i 4. Podatak nije dostupan, nužno je prikupljanje podataka primarnim istraživanjem</w:t>
            </w:r>
          </w:p>
        </w:tc>
      </w:tr>
      <w:tr w:rsidR="00702E3C">
        <w:trPr>
          <w:jc w:val="center"/>
        </w:trPr>
        <w:tc>
          <w:tcPr>
            <w:tcW w:w="1413" w:type="dxa"/>
            <w:vMerge/>
            <w:shd w:val="clear" w:color="auto" w:fill="BFE373" w:themeFill="accent1" w:themeFillTint="99"/>
          </w:tcPr>
          <w:p w:rsidR="00702E3C" w:rsidRDefault="00702E3C">
            <w:pPr>
              <w:spacing w:after="0" w:line="360" w:lineRule="auto"/>
              <w:jc w:val="both"/>
              <w:rPr>
                <w:rFonts w:ascii="Times New Roman" w:hAnsi="Times New Roman" w:cs="Times New Roman"/>
                <w:sz w:val="20"/>
                <w:szCs w:val="20"/>
              </w:rPr>
            </w:pPr>
          </w:p>
        </w:tc>
        <w:tc>
          <w:tcPr>
            <w:tcW w:w="3260" w:type="dxa"/>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Periodičnost prikupljanja podataka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Svake dvije godine</w:t>
            </w:r>
          </w:p>
        </w:tc>
      </w:tr>
      <w:tr w:rsidR="00702E3C">
        <w:trPr>
          <w:jc w:val="center"/>
        </w:trPr>
        <w:tc>
          <w:tcPr>
            <w:tcW w:w="4673" w:type="dxa"/>
            <w:gridSpan w:val="2"/>
            <w:shd w:val="clear" w:color="auto" w:fill="C1E4F5"/>
          </w:tcPr>
          <w:p w:rsidR="00702E3C" w:rsidRDefault="00702E3C">
            <w:pPr>
              <w:spacing w:after="0" w:line="360" w:lineRule="auto"/>
              <w:jc w:val="both"/>
              <w:rPr>
                <w:rFonts w:ascii="Times New Roman" w:hAnsi="Times New Roman" w:cs="Times New Roman"/>
                <w:sz w:val="20"/>
                <w:szCs w:val="20"/>
              </w:rPr>
            </w:pPr>
          </w:p>
          <w:p w:rsidR="00702E3C" w:rsidRDefault="00702E3C">
            <w:pPr>
              <w:spacing w:after="0" w:line="360" w:lineRule="auto"/>
              <w:jc w:val="both"/>
              <w:rPr>
                <w:rFonts w:ascii="Times New Roman" w:hAnsi="Times New Roman" w:cs="Times New Roman"/>
                <w:sz w:val="20"/>
                <w:szCs w:val="20"/>
              </w:rPr>
            </w:pPr>
          </w:p>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Metodologija izračuna pokazatelja</w:t>
            </w:r>
          </w:p>
        </w:tc>
        <w:tc>
          <w:tcPr>
            <w:tcW w:w="9639" w:type="dxa"/>
            <w:gridSpan w:val="3"/>
          </w:tcPr>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Vrijednost pokazatelja ZT-1 – Zadovoljstvo turista i jednodnevnih posjetitelja destinacijom sastoji se od: (i) vrijednosti indeksa zadovoljstva posjetitelja destinacijom i (ii) neto spremnost na preporuku destinacije.</w:t>
            </w:r>
          </w:p>
          <w:p w:rsidR="00702E3C" w:rsidRDefault="004B1C8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Vrijednosti pokazatelja mjere se pomoću varijabli/pitanja koja su definirana smjernicama za provođenje primarnih istraživanja, donesenih od strane ministarstva nadležnog za poslove turizma.</w:t>
            </w:r>
          </w:p>
        </w:tc>
      </w:tr>
      <w:tr w:rsidR="00702E3C">
        <w:trPr>
          <w:jc w:val="center"/>
        </w:trPr>
        <w:tc>
          <w:tcPr>
            <w:tcW w:w="4673" w:type="dxa"/>
            <w:gridSpan w:val="2"/>
            <w:shd w:val="clear" w:color="auto" w:fill="FAE0D0" w:themeFill="accent4" w:themeFillTint="33"/>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Učestalost mjerenja</w:t>
            </w:r>
          </w:p>
        </w:tc>
        <w:tc>
          <w:tcPr>
            <w:tcW w:w="9639" w:type="dxa"/>
            <w:gridSpan w:val="3"/>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Svake dvije godine</w:t>
            </w:r>
          </w:p>
        </w:tc>
      </w:tr>
      <w:tr w:rsidR="00702E3C">
        <w:trPr>
          <w:jc w:val="center"/>
        </w:trPr>
        <w:tc>
          <w:tcPr>
            <w:tcW w:w="4673" w:type="dxa"/>
            <w:gridSpan w:val="2"/>
            <w:shd w:val="clear" w:color="auto" w:fill="C1E4F5"/>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Početna vrijednost  (2025.)</w:t>
            </w:r>
          </w:p>
        </w:tc>
        <w:tc>
          <w:tcPr>
            <w:tcW w:w="3842" w:type="dxa"/>
            <w:tcBorders>
              <w:right w:val="dashSmallGap" w:sz="4" w:space="0" w:color="54A021" w:themeColor="accent2"/>
            </w:tcBorders>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2027</w:t>
            </w:r>
          </w:p>
        </w:tc>
        <w:tc>
          <w:tcPr>
            <w:tcW w:w="2830" w:type="dxa"/>
            <w:tcBorders>
              <w:left w:val="dashSmallGap" w:sz="4" w:space="0" w:color="54A021" w:themeColor="accent2"/>
            </w:tcBorders>
          </w:tcPr>
          <w:p w:rsidR="00702E3C" w:rsidRDefault="004B1C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2029</w:t>
            </w:r>
          </w:p>
        </w:tc>
        <w:tc>
          <w:tcPr>
            <w:tcW w:w="2967" w:type="dxa"/>
            <w:tcBorders>
              <w:left w:val="dashSmallGap" w:sz="4" w:space="0" w:color="54A021" w:themeColor="accent2"/>
            </w:tcBorders>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2031</w:t>
            </w:r>
          </w:p>
        </w:tc>
      </w:tr>
      <w:tr w:rsidR="00702E3C">
        <w:trPr>
          <w:jc w:val="center"/>
        </w:trPr>
        <w:tc>
          <w:tcPr>
            <w:tcW w:w="4673" w:type="dxa"/>
            <w:gridSpan w:val="2"/>
          </w:tcPr>
          <w:p w:rsidR="00702E3C" w:rsidRDefault="004B1C83">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80,33%</w:t>
            </w:r>
          </w:p>
        </w:tc>
        <w:tc>
          <w:tcPr>
            <w:tcW w:w="3842" w:type="dxa"/>
            <w:tcBorders>
              <w:right w:val="dashSmallGap" w:sz="4" w:space="0" w:color="54A021" w:themeColor="accent2"/>
            </w:tcBorders>
          </w:tcPr>
          <w:p w:rsidR="00702E3C" w:rsidRDefault="00702E3C">
            <w:pPr>
              <w:spacing w:after="0" w:line="360" w:lineRule="auto"/>
              <w:jc w:val="both"/>
              <w:rPr>
                <w:rFonts w:ascii="Times New Roman" w:hAnsi="Times New Roman" w:cs="Times New Roman"/>
                <w:sz w:val="20"/>
                <w:szCs w:val="20"/>
              </w:rPr>
            </w:pPr>
          </w:p>
        </w:tc>
        <w:tc>
          <w:tcPr>
            <w:tcW w:w="2830" w:type="dxa"/>
            <w:tcBorders>
              <w:left w:val="dashSmallGap" w:sz="4" w:space="0" w:color="54A021" w:themeColor="accent2"/>
            </w:tcBorders>
          </w:tcPr>
          <w:p w:rsidR="00702E3C" w:rsidRDefault="00702E3C">
            <w:pPr>
              <w:spacing w:after="0" w:line="240" w:lineRule="auto"/>
              <w:rPr>
                <w:rFonts w:ascii="Times New Roman" w:hAnsi="Times New Roman" w:cs="Times New Roman"/>
                <w:sz w:val="20"/>
                <w:szCs w:val="20"/>
              </w:rPr>
            </w:pPr>
          </w:p>
        </w:tc>
        <w:tc>
          <w:tcPr>
            <w:tcW w:w="2967" w:type="dxa"/>
            <w:tcBorders>
              <w:left w:val="dashSmallGap" w:sz="4" w:space="0" w:color="54A021" w:themeColor="accent2"/>
            </w:tcBorders>
          </w:tcPr>
          <w:p w:rsidR="00702E3C" w:rsidRDefault="00702E3C">
            <w:pPr>
              <w:spacing w:after="0" w:line="360" w:lineRule="auto"/>
              <w:jc w:val="both"/>
              <w:rPr>
                <w:rFonts w:ascii="Times New Roman" w:hAnsi="Times New Roman" w:cs="Times New Roman"/>
                <w:sz w:val="20"/>
                <w:szCs w:val="20"/>
              </w:rPr>
            </w:pPr>
          </w:p>
        </w:tc>
      </w:tr>
    </w:tbl>
    <w:p w:rsidR="00702E3C" w:rsidRDefault="00702E3C">
      <w:pPr>
        <w:spacing w:line="360" w:lineRule="auto"/>
        <w:rPr>
          <w:rFonts w:ascii="Times New Roman" w:hAnsi="Times New Roman" w:cs="Times New Roman"/>
          <w:sz w:val="24"/>
          <w:szCs w:val="24"/>
        </w:rPr>
      </w:pPr>
    </w:p>
    <w:p w:rsidR="00702E3C" w:rsidRDefault="004B1C83">
      <w:pPr>
        <w:pStyle w:val="Naslov2"/>
        <w:numPr>
          <w:ilvl w:val="1"/>
          <w:numId w:val="22"/>
        </w:numPr>
        <w:rPr>
          <w:rFonts w:ascii="Times New Roman" w:hAnsi="Times New Roman" w:cs="Times New Roman"/>
        </w:rPr>
      </w:pPr>
      <w:bookmarkStart w:id="77" w:name="_Toc217040706"/>
      <w:r>
        <w:rPr>
          <w:rFonts w:ascii="Times New Roman" w:hAnsi="Times New Roman" w:cs="Times New Roman"/>
        </w:rPr>
        <w:t>Pristupačnost destinacije</w:t>
      </w:r>
      <w:bookmarkEnd w:id="77"/>
    </w:p>
    <w:tbl>
      <w:tblPr>
        <w:tblW w:w="14317" w:type="dxa"/>
        <w:tblInd w:w="-150" w:type="dxa"/>
        <w:shd w:val="clear" w:color="auto" w:fill="FFFFFF"/>
        <w:tblCellMar>
          <w:left w:w="0" w:type="dxa"/>
          <w:right w:w="0" w:type="dxa"/>
        </w:tblCellMar>
        <w:tblLook w:val="04A0" w:firstRow="1" w:lastRow="0" w:firstColumn="1" w:lastColumn="0" w:noHBand="0" w:noVBand="1"/>
      </w:tblPr>
      <w:tblGrid>
        <w:gridCol w:w="2030"/>
        <w:gridCol w:w="2932"/>
        <w:gridCol w:w="4607"/>
        <w:gridCol w:w="4748"/>
      </w:tblGrid>
      <w:tr w:rsidR="00702E3C">
        <w:tc>
          <w:tcPr>
            <w:tcW w:w="2030"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287" w:type="dxa"/>
            <w:gridSpan w:val="3"/>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Naslov3"/>
              <w:numPr>
                <w:ilvl w:val="2"/>
                <w:numId w:val="22"/>
              </w:numPr>
              <w:rPr>
                <w:rFonts w:ascii="Times New Roman" w:hAnsi="Times New Roman" w:cs="Times New Roman"/>
              </w:rPr>
            </w:pPr>
            <w:bookmarkStart w:id="78" w:name="_Toc217040707"/>
            <w:r>
              <w:rPr>
                <w:rFonts w:ascii="Times New Roman" w:hAnsi="Times New Roman" w:cs="Times New Roman"/>
              </w:rPr>
              <w:t>Udio atrakcija (lokaliteta) pristupačnih osobama s invaliditetom PD-1</w:t>
            </w:r>
            <w:bookmarkEnd w:id="78"/>
          </w:p>
        </w:tc>
      </w:tr>
      <w:tr w:rsidR="00702E3C">
        <w:tc>
          <w:tcPr>
            <w:tcW w:w="2030"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 Postotak turističkih atrakcija pristupačnih osobama s invaliditetom i/ili koje sudjeluju u prepoznatim shemama pristupačnosti</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pristupačnost destinacije</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Pružanje javno dostupnih informacija o atrakcijama doprinosi stvaranju održivih i otpornih urbanih područja, pomažući u planiranju i upravljanju urbanim razvojem, uključujući turističke destinacije.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Dostojan rad i ekonomski rast – Informacije koje promiču turističke destinacije mogu doprinijeti održivom ekonomskom rastu i stvaranju kvalitetnih radnih mjesta.</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w:t>
            </w:r>
          </w:p>
        </w:tc>
      </w:tr>
      <w:tr w:rsidR="00702E3C">
        <w:tc>
          <w:tcPr>
            <w:tcW w:w="2030"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prikazuje udio atrakcija (lokaliteta) pristupačnih osobama s invaliditetom u odnosu na ukupan broj atrakcija u destinaciji prepoznatim planom upravljanja</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Atrakcije kao razlog dolaska u destinaciju mogu biti iznimno raznolike i različite dostupnosti, stoga je svrha ovog pokazatelja uvid u mogućnosti obilaska atrakcija i lokaliteta od interesa osobama s invaliditetom (osobama s tjelesnim, intelektualnim mentalnim i osjetilnim oštećenjem zdravlja), pri čemu se pristupačnost očituje u fizičkoj pristupačnosti i pristupačnosti informacija i komunikacija.</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atrakcija (lokaliteta) fizički pristupačnih osobama s invaliditetom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atrakcija (lokaliteta) informacijski i komunikacijski pristupačnih osobama s invaliditetom.</w:t>
            </w:r>
          </w:p>
        </w:tc>
      </w:tr>
      <w:tr w:rsidR="00702E3C">
        <w:tc>
          <w:tcPr>
            <w:tcW w:w="2030"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Ukupan broj atrakcija dostupnih za posjećivanje (temeljem plana upravljanja)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pristupačnih atrakcija</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atrakcija</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Plan upravljanja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Evidencija TZ-a o pristupačnosti atrakcija (turistički katastar)</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Evidencija TZ-a Javne turističke infrastrukture (JTI) destinacije za Popis Javne turističke infrastrukture (JTI).</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Podatci su dostupni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Podatak je dostupan</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Kontinuirano vođenje evidencija o stanju i dostupnosti atrakcija od strane TZ-ova</w:t>
            </w:r>
          </w:p>
        </w:tc>
      </w:tr>
      <w:tr w:rsidR="00702E3C">
        <w:tc>
          <w:tcPr>
            <w:tcW w:w="203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9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496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EA – </w:t>
            </w:r>
            <w:r>
              <w:rPr>
                <w:rFonts w:ascii="Times New Roman" w:eastAsia="Times New Roman" w:hAnsi="Times New Roman" w:cs="Times New Roman"/>
                <w:kern w:val="0"/>
                <w:sz w:val="20"/>
                <w:szCs w:val="20"/>
                <w:lang w:eastAsia="hr-HR"/>
                <w14:ligatures w14:val="none"/>
              </w:rPr>
              <w:t>broj svih evidentiranih atrakcija u destinaciji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EAP – </w:t>
            </w:r>
            <w:r>
              <w:rPr>
                <w:rFonts w:ascii="Times New Roman" w:eastAsia="Times New Roman" w:hAnsi="Times New Roman" w:cs="Times New Roman"/>
                <w:kern w:val="0"/>
                <w:sz w:val="20"/>
                <w:szCs w:val="20"/>
                <w:lang w:eastAsia="hr-HR"/>
                <w14:ligatures w14:val="none"/>
              </w:rPr>
              <w:t>broj atrakcija pristupačnih osobama s invaliditetom</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sz w:val="20"/>
                <w:szCs w:val="20"/>
              </w:rPr>
            </w:pPr>
            <m:oMathPara>
              <m:oMath>
                <m:r>
                  <m:rPr>
                    <m:sty m:val="p"/>
                  </m:rPr>
                  <w:rPr>
                    <w:rFonts w:ascii="Cambria Math" w:hAnsi="Cambria Math" w:cs="Times New Roman"/>
                    <w:sz w:val="20"/>
                    <w:szCs w:val="20"/>
                  </w:rPr>
                  <m:t>udio pristupačnih atrakcija =</m:t>
                </m:r>
                <m:f>
                  <m:fPr>
                    <m:ctrlPr>
                      <w:rPr>
                        <w:rFonts w:ascii="Cambria Math" w:hAnsi="Cambria Math" w:cs="Times New Roman"/>
                        <w:sz w:val="20"/>
                        <w:szCs w:val="20"/>
                      </w:rPr>
                    </m:ctrlPr>
                  </m:fPr>
                  <m:num>
                    <m:r>
                      <m:rPr>
                        <m:sty m:val="p"/>
                      </m:rPr>
                      <w:rPr>
                        <w:rFonts w:ascii="Cambria Math" w:hAnsi="Cambria Math" w:cs="Times New Roman"/>
                        <w:sz w:val="20"/>
                        <w:szCs w:val="20"/>
                      </w:rPr>
                      <m:t>EAP</m:t>
                    </m:r>
                  </m:num>
                  <m:den>
                    <m:r>
                      <m:rPr>
                        <m:sty m:val="p"/>
                      </m:rPr>
                      <w:rPr>
                        <w:rFonts w:ascii="Cambria Math" w:hAnsi="Cambria Math" w:cs="Times New Roman"/>
                        <w:sz w:val="20"/>
                        <w:szCs w:val="20"/>
                      </w:rPr>
                      <m:t xml:space="preserve">EA </m:t>
                    </m:r>
                  </m:den>
                </m:f>
                <m:r>
                  <w:rPr>
                    <w:rFonts w:ascii="Cambria Math" w:hAnsi="Cambria Math" w:cs="Times New Roman"/>
                    <w:sz w:val="20"/>
                    <w:szCs w:val="20"/>
                  </w:rPr>
                  <m:t xml:space="preserve"> X 100 </m:t>
                </m:r>
              </m:oMath>
            </m:oMathPara>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4962" w:type="dxa"/>
            <w:gridSpan w:val="2"/>
            <w:tcBorders>
              <w:top w:val="single" w:sz="6" w:space="0" w:color="auto"/>
              <w:left w:val="single" w:sz="6" w:space="0" w:color="auto"/>
              <w:bottom w:val="single" w:sz="6" w:space="0" w:color="auto"/>
              <w:right w:val="single" w:sz="6" w:space="0" w:color="auto"/>
            </w:tcBorders>
            <w:shd w:val="clear" w:color="auto" w:fill="FAE0D0" w:themeFill="accent4"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Učestalost mjerenja</w:t>
            </w:r>
          </w:p>
        </w:tc>
        <w:tc>
          <w:tcPr>
            <w:tcW w:w="93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496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460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474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496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60%</w:t>
            </w:r>
          </w:p>
        </w:tc>
        <w:tc>
          <w:tcPr>
            <w:tcW w:w="460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474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line="360" w:lineRule="auto"/>
        <w:jc w:val="both"/>
        <w:rPr>
          <w:rFonts w:ascii="Times New Roman" w:hAnsi="Times New Roman" w:cs="Times New Roman"/>
          <w:sz w:val="24"/>
          <w:szCs w:val="24"/>
        </w:rPr>
      </w:pPr>
    </w:p>
    <w:p w:rsidR="00702E3C" w:rsidRDefault="004B1C83">
      <w:pPr>
        <w:pStyle w:val="Naslov2"/>
        <w:numPr>
          <w:ilvl w:val="1"/>
          <w:numId w:val="22"/>
        </w:numPr>
        <w:rPr>
          <w:rFonts w:ascii="Times New Roman" w:eastAsia="Times New Roman" w:hAnsi="Times New Roman" w:cs="Times New Roman"/>
          <w:lang w:eastAsia="hr-HR"/>
        </w:rPr>
      </w:pPr>
      <w:bookmarkStart w:id="79" w:name="_Toc217040708"/>
      <w:r>
        <w:rPr>
          <w:rFonts w:ascii="Times New Roman" w:eastAsia="Times New Roman" w:hAnsi="Times New Roman" w:cs="Times New Roman"/>
          <w:lang w:eastAsia="hr-HR"/>
        </w:rPr>
        <w:t>Sigurnost destinacije</w:t>
      </w:r>
      <w:bookmarkEnd w:id="79"/>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4451" w:type="dxa"/>
        <w:shd w:val="clear" w:color="auto" w:fill="FFFFFF"/>
        <w:tblCellMar>
          <w:left w:w="0" w:type="dxa"/>
          <w:right w:w="0" w:type="dxa"/>
        </w:tblCellMar>
        <w:tblLook w:val="04A0" w:firstRow="1" w:lastRow="0" w:firstColumn="1" w:lastColumn="0" w:noHBand="0" w:noVBand="1"/>
      </w:tblPr>
      <w:tblGrid>
        <w:gridCol w:w="2018"/>
        <w:gridCol w:w="1633"/>
        <w:gridCol w:w="2702"/>
        <w:gridCol w:w="2699"/>
        <w:gridCol w:w="2699"/>
        <w:gridCol w:w="2700"/>
      </w:tblGrid>
      <w:tr w:rsidR="00702E3C">
        <w:tc>
          <w:tcPr>
            <w:tcW w:w="2006"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445" w:type="dxa"/>
            <w:gridSpan w:val="5"/>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Naslov3"/>
              <w:numPr>
                <w:ilvl w:val="2"/>
                <w:numId w:val="22"/>
              </w:numPr>
              <w:rPr>
                <w:rFonts w:ascii="Times New Roman" w:eastAsia="Times New Roman" w:hAnsi="Times New Roman" w:cs="Times New Roman"/>
                <w:lang w:eastAsia="hr-HR"/>
              </w:rPr>
            </w:pPr>
            <w:bookmarkStart w:id="80" w:name="_Toc217040709"/>
            <w:r>
              <w:rPr>
                <w:rFonts w:ascii="Times New Roman" w:eastAsia="Times New Roman" w:hAnsi="Times New Roman" w:cs="Times New Roman"/>
                <w:lang w:eastAsia="hr-HR"/>
              </w:rPr>
              <w:t>Broj organiziranih turističkih ambulanti (SD-1)</w:t>
            </w:r>
            <w:bookmarkEnd w:id="80"/>
          </w:p>
        </w:tc>
      </w:tr>
      <w:tr w:rsidR="00702E3C">
        <w:tc>
          <w:tcPr>
            <w:tcW w:w="2006"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sa međunarodnim sustavima</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Global Sustainable Tourism Council (dalje u tekstu: GSTC) – Usluge u zajednici (community services)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broj organiziranih turističkih ambulanti u svrhu provođenja mjera zdravstvene zaštite za povećani broj korisnika zdravstvene zaštite koje se pružaju turistima.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Sukladno posebnom zakonu kojim se uređuje zdravstvena zaštita turističku ambulantu može organizirati jedinica područne (regionalne) samouprave odnosno Grad Zagreb, jedinica lokalne samouprave, turistička zajednica, druga pravna i fizička osoba koja obavlja ugostiteljsku djelatnost i/ili pruža usluge u turizmu, zdravstvena ustanova, trgovačko društvo koje obavlja zdravstvenu djelatnost ili privatni zdravstveni radnik, koji su dužni utvrditi i razdoblje rada turističke ambulante tijekom godine. Turistička </w:t>
            </w:r>
            <w:r>
              <w:rPr>
                <w:rFonts w:ascii="Times New Roman" w:eastAsia="Times New Roman" w:hAnsi="Times New Roman" w:cs="Times New Roman"/>
                <w:kern w:val="0"/>
                <w:sz w:val="20"/>
                <w:szCs w:val="20"/>
                <w:lang w:eastAsia="hr-HR"/>
                <w14:ligatures w14:val="none"/>
              </w:rPr>
              <w:lastRenderedPageBreak/>
              <w:t>ambulanta organizira se izvan mreže javne zdravstvene službe. Posebnim propisom o normativima i standardima za turističku ambulantu određeni su minimalni normativi i standardi u pogledu prostora, radnika i medicinsko-tehničke opreme koje mora ispunjavati turistička ambulanta. Zbog potrebe osiguranja provođenja mjera zdravstvene zaštite za povećani broj korisnika zdravstvene zaštite koje se pružaju turistima, jedinica područne (regionalne) samouprave odnosno Grad Zagreb, za svaku sljedeću turističku sezonu utvrđuje minimalni broj turističkih ambulanti za svoje područje na temelju broja dolazaka turista u prethodnoj godini.</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Obilježja podataka</w:t>
            </w: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organiziranih turističkih ambulanti temeljem posebnog zakona kojim se uređuje zdravstvena djelatnost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Zadarska županija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63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3639"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informacija o broju ambulanti u destinaciji, te se broj direktno preuzima i služi kao pokazatelj.</w:t>
            </w:r>
          </w:p>
        </w:tc>
      </w:tr>
      <w:tr w:rsidR="00702E3C">
        <w:tc>
          <w:tcPr>
            <w:tcW w:w="3639" w:type="dxa"/>
            <w:gridSpan w:val="2"/>
            <w:tcBorders>
              <w:top w:val="single" w:sz="6" w:space="0" w:color="auto"/>
              <w:left w:val="single" w:sz="6" w:space="0" w:color="auto"/>
              <w:bottom w:val="single" w:sz="6" w:space="0" w:color="auto"/>
              <w:right w:val="single" w:sz="6" w:space="0" w:color="auto"/>
            </w:tcBorders>
            <w:shd w:val="clear" w:color="auto" w:fill="FAE0D0" w:themeFill="accent4"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1081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3639"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70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70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0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70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3639"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w:t>
            </w:r>
          </w:p>
        </w:tc>
        <w:tc>
          <w:tcPr>
            <w:tcW w:w="270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0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0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0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line="360" w:lineRule="auto"/>
        <w:jc w:val="center"/>
        <w:rPr>
          <w:rFonts w:ascii="Times New Roman" w:hAnsi="Times New Roman" w:cs="Times New Roman"/>
          <w:b/>
          <w:bCs/>
          <w:sz w:val="20"/>
          <w:szCs w:val="20"/>
        </w:rPr>
      </w:pPr>
    </w:p>
    <w:p w:rsidR="00702E3C" w:rsidRDefault="00702E3C">
      <w:pPr>
        <w:pStyle w:val="box478068"/>
        <w:shd w:val="clear" w:color="auto" w:fill="FFFFFF"/>
        <w:spacing w:before="0" w:beforeAutospacing="0" w:after="48" w:afterAutospacing="0"/>
        <w:jc w:val="center"/>
        <w:textAlignment w:val="baseline"/>
        <w:rPr>
          <w:b/>
          <w:bCs/>
          <w:sz w:val="20"/>
          <w:szCs w:val="20"/>
        </w:rPr>
      </w:pPr>
    </w:p>
    <w:p w:rsidR="00702E3C" w:rsidRDefault="00702E3C">
      <w:pPr>
        <w:pStyle w:val="box478068"/>
        <w:shd w:val="clear" w:color="auto" w:fill="FFFFFF"/>
        <w:spacing w:before="0" w:beforeAutospacing="0" w:after="48" w:afterAutospacing="0"/>
        <w:textAlignment w:val="baseline"/>
        <w:rPr>
          <w:b/>
          <w:bCs/>
          <w:sz w:val="20"/>
          <w:szCs w:val="20"/>
        </w:rPr>
      </w:pPr>
    </w:p>
    <w:p w:rsidR="00702E3C" w:rsidRDefault="00702E3C">
      <w:pPr>
        <w:pStyle w:val="box478068"/>
        <w:shd w:val="clear" w:color="auto" w:fill="FFFFFF"/>
        <w:spacing w:before="0" w:beforeAutospacing="0" w:after="48" w:afterAutospacing="0"/>
        <w:textAlignment w:val="baseline"/>
        <w:rPr>
          <w:b/>
          <w:bCs/>
          <w:sz w:val="20"/>
          <w:szCs w:val="20"/>
        </w:rPr>
      </w:pPr>
    </w:p>
    <w:p w:rsidR="00702E3C" w:rsidRDefault="00702E3C">
      <w:pPr>
        <w:pStyle w:val="box478068"/>
        <w:shd w:val="clear" w:color="auto" w:fill="FFFFFF"/>
        <w:spacing w:before="0" w:beforeAutospacing="0" w:after="48" w:afterAutospacing="0"/>
        <w:textAlignment w:val="baseline"/>
        <w:rPr>
          <w:b/>
          <w:bCs/>
          <w:sz w:val="20"/>
          <w:szCs w:val="20"/>
        </w:rPr>
      </w:pPr>
    </w:p>
    <w:p w:rsidR="00702E3C" w:rsidRDefault="00702E3C">
      <w:pPr>
        <w:pStyle w:val="box478068"/>
        <w:shd w:val="clear" w:color="auto" w:fill="FFFFFF"/>
        <w:spacing w:before="0" w:beforeAutospacing="0" w:after="48" w:afterAutospacing="0"/>
        <w:textAlignment w:val="baseline"/>
        <w:rPr>
          <w:b/>
          <w:bCs/>
          <w:sz w:val="20"/>
          <w:szCs w:val="20"/>
        </w:rPr>
      </w:pPr>
    </w:p>
    <w:p w:rsidR="00702E3C" w:rsidRDefault="00702E3C">
      <w:pPr>
        <w:pStyle w:val="box478068"/>
        <w:shd w:val="clear" w:color="auto" w:fill="FFFFFF"/>
        <w:spacing w:before="0" w:beforeAutospacing="0" w:after="48" w:afterAutospacing="0"/>
        <w:jc w:val="center"/>
        <w:textAlignment w:val="baseline"/>
        <w:rPr>
          <w:b/>
          <w:bCs/>
          <w:sz w:val="20"/>
          <w:szCs w:val="20"/>
        </w:rPr>
      </w:pPr>
    </w:p>
    <w:p w:rsidR="00702E3C" w:rsidRDefault="004B1C83">
      <w:pPr>
        <w:pStyle w:val="Naslov1"/>
        <w:numPr>
          <w:ilvl w:val="0"/>
          <w:numId w:val="22"/>
        </w:numPr>
        <w:jc w:val="center"/>
        <w:rPr>
          <w:rFonts w:ascii="Times New Roman" w:hAnsi="Times New Roman" w:cs="Times New Roman"/>
          <w:b/>
          <w:bCs/>
        </w:rPr>
      </w:pPr>
      <w:bookmarkStart w:id="81" w:name="_Toc217040710"/>
      <w:r>
        <w:rPr>
          <w:rFonts w:ascii="Times New Roman" w:hAnsi="Times New Roman" w:cs="Times New Roman"/>
          <w:b/>
          <w:bCs/>
        </w:rPr>
        <w:lastRenderedPageBreak/>
        <w:t>OBVEZNI POKAZATELJI ODRŽIVOSTI KOJI MJERE UTJECAJ TURIZMA NA OKOLIŠNE ASPEKTE ODRŽIVOSTI</w:t>
      </w:r>
      <w:bookmarkEnd w:id="81"/>
    </w:p>
    <w:p w:rsidR="00702E3C" w:rsidRDefault="004B1C83">
      <w:pPr>
        <w:pStyle w:val="Naslov2"/>
        <w:jc w:val="center"/>
        <w:rPr>
          <w:rFonts w:ascii="Times New Roman" w:hAnsi="Times New Roman" w:cs="Times New Roman"/>
          <w:sz w:val="28"/>
          <w:szCs w:val="28"/>
        </w:rPr>
      </w:pPr>
      <w:bookmarkStart w:id="82" w:name="_Toc217040711"/>
      <w:r>
        <w:rPr>
          <w:rStyle w:val="bold"/>
          <w:rFonts w:ascii="Times New Roman" w:hAnsi="Times New Roman" w:cs="Times New Roman"/>
          <w:color w:val="54A021" w:themeColor="accent2"/>
          <w:sz w:val="28"/>
          <w:szCs w:val="28"/>
        </w:rPr>
        <w:t>7.1. Upravljanje vodnim resursima</w:t>
      </w:r>
      <w:bookmarkEnd w:id="82"/>
    </w:p>
    <w:p w:rsidR="00702E3C" w:rsidRDefault="00702E3C">
      <w:pPr>
        <w:pStyle w:val="box478068"/>
        <w:shd w:val="clear" w:color="auto" w:fill="FFFFFF"/>
        <w:spacing w:before="0" w:beforeAutospacing="0" w:after="0" w:afterAutospacing="0"/>
        <w:ind w:firstLine="408"/>
        <w:jc w:val="center"/>
        <w:textAlignment w:val="baseline"/>
        <w:rPr>
          <w:rStyle w:val="bold"/>
          <w:rFonts w:eastAsiaTheme="majorEastAsia"/>
          <w:b/>
          <w:bCs/>
          <w:sz w:val="20"/>
          <w:szCs w:val="20"/>
        </w:rPr>
      </w:pPr>
    </w:p>
    <w:tbl>
      <w:tblPr>
        <w:tblW w:w="14451" w:type="dxa"/>
        <w:shd w:val="clear" w:color="auto" w:fill="FFFFFF"/>
        <w:tblCellMar>
          <w:left w:w="0" w:type="dxa"/>
          <w:right w:w="0" w:type="dxa"/>
        </w:tblCellMar>
        <w:tblLook w:val="04A0" w:firstRow="1" w:lastRow="0" w:firstColumn="1" w:lastColumn="0" w:noHBand="0" w:noVBand="1"/>
      </w:tblPr>
      <w:tblGrid>
        <w:gridCol w:w="1410"/>
        <w:gridCol w:w="2268"/>
        <w:gridCol w:w="3874"/>
        <w:gridCol w:w="3449"/>
        <w:gridCol w:w="3450"/>
      </w:tblGrid>
      <w:tr w:rsidR="00702E3C">
        <w:tc>
          <w:tcPr>
            <w:tcW w:w="1410" w:type="dxa"/>
            <w:tcBorders>
              <w:top w:val="single" w:sz="6" w:space="0" w:color="auto"/>
              <w:left w:val="single" w:sz="6" w:space="0" w:color="auto"/>
              <w:bottom w:val="single" w:sz="6" w:space="0" w:color="auto"/>
              <w:right w:val="single" w:sz="6" w:space="0" w:color="auto"/>
            </w:tcBorders>
            <w:shd w:val="clear" w:color="auto" w:fill="90C226" w:themeFill="accent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3041" w:type="dxa"/>
            <w:gridSpan w:val="4"/>
            <w:tcBorders>
              <w:top w:val="single" w:sz="6" w:space="0" w:color="auto"/>
              <w:left w:val="single" w:sz="6" w:space="0" w:color="auto"/>
              <w:bottom w:val="single" w:sz="6" w:space="0" w:color="auto"/>
              <w:right w:val="single" w:sz="6" w:space="0" w:color="auto"/>
            </w:tcBorders>
            <w:shd w:val="clear" w:color="auto" w:fill="90C226" w:themeFill="accent1"/>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Omjer potrošnje vode po turističkom noćenju u odnosu na prosječnu potrošnju vode po stalnom stanovniku destinacije (izraženo po osobi i po noćenju) (UVR-1)</w:t>
            </w:r>
          </w:p>
        </w:tc>
      </w:tr>
      <w:tr w:rsidR="00702E3C">
        <w:tc>
          <w:tcPr>
            <w:tcW w:w="1410"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sa međunarodnim sustavima</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ETIS: Potrošnja pitke vode po turističkom noćenju u usporedbi s potrošnjom vode općeg stanovništva po osobi po noći (D.5.1.)</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upravljanje vodnim resursima</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6 Čista, pitka voda i higijenski uvjeti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Održivi gradovi i zajednice</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Smanjenje negativnog utjecaja turizma na sastavnice okoliša, prirodu i prostor</w:t>
            </w:r>
          </w:p>
        </w:tc>
      </w:tr>
      <w:tr w:rsidR="00702E3C">
        <w:tc>
          <w:tcPr>
            <w:tcW w:w="1410"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je omjer ukupne količine vode isporučene u smještajnim objektima destinacije u odnosu na ukupnu potrošnju vode u destinaciji, koji daje uvid u opterećenje turizma na vodni resurs destinacije.</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Ograničavajući čimbenik razvoja turizma u pojedinim destinacijama je dostupnost vode, odnosno njena nepovoljna prostorna i vremenska raspodjela, osobito u Jadranskoj Hrvatskoj te u ljetnim mjesecima, kao i gubici vode u vodoopskrbnom sustavu.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Vođenje evidencije o ukupnoj finalnoj potrošnji vode dužno je provoditi i osigurati nadležno tijelo za upravljanje vodnim resursima u jedinicama lokalne i područne (regionalne) samouprave na temelju posebnog zakona kojim se uređuje upravljanje vodama</w:t>
            </w:r>
          </w:p>
        </w:tc>
      </w:tr>
      <w:tr w:rsidR="00702E3C">
        <w:tc>
          <w:tcPr>
            <w:tcW w:w="1410"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podataka</w:t>
            </w: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Ukupna finalna potrošnja vode u kućanstvima i smještajnim objektima u kalendarskom mjesecu s najmanjim brojem noćenja (m</w:t>
            </w:r>
            <w:r>
              <w:rPr>
                <w:rFonts w:ascii="Times New Roman" w:eastAsia="Times New Roman" w:hAnsi="Times New Roman" w:cs="Times New Roman"/>
                <w:kern w:val="0"/>
                <w:sz w:val="18"/>
                <w:szCs w:val="18"/>
                <w:vertAlign w:val="superscript"/>
                <w:lang w:eastAsia="hr-HR"/>
                <w14:ligatures w14:val="none"/>
              </w:rPr>
              <w:t>3</w:t>
            </w:r>
            <w:r>
              <w:rPr>
                <w:rFonts w:ascii="Times New Roman" w:eastAsia="Times New Roman" w:hAnsi="Times New Roman" w:cs="Times New Roman"/>
                <w:kern w:val="0"/>
                <w:sz w:val="18"/>
                <w:szCs w:val="18"/>
                <w:lang w:eastAsia="hr-HR"/>
                <w14:ligatures w14:val="none"/>
              </w:rPr>
              <w: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Ukupna finalna potrošnja vode u kućanstvima i smještajnim objektima u kalendarskom mjesecu s najvećim brojem noćenja (m</w:t>
            </w:r>
            <w:r>
              <w:rPr>
                <w:rFonts w:ascii="Times New Roman" w:eastAsia="Times New Roman" w:hAnsi="Times New Roman" w:cs="Times New Roman"/>
                <w:kern w:val="0"/>
                <w:sz w:val="18"/>
                <w:szCs w:val="18"/>
                <w:vertAlign w:val="superscript"/>
                <w:lang w:eastAsia="hr-HR"/>
                <w14:ligatures w14:val="none"/>
              </w:rPr>
              <w:t>3</w:t>
            </w:r>
            <w:r>
              <w:rPr>
                <w:rFonts w:ascii="Times New Roman" w:eastAsia="Times New Roman" w:hAnsi="Times New Roman" w:cs="Times New Roman"/>
                <w:kern w:val="0"/>
                <w:sz w:val="18"/>
                <w:szCs w:val="18"/>
                <w:lang w:eastAsia="hr-HR"/>
                <w14:ligatures w14:val="none"/>
              </w:rPr>
              <w: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Broj ostvarenih turističkih noćenja u smještaju u destinaciji u kalendarskom mjesecu s najmanjim brojem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4. Broj ostvarenih turističkih noćenja u smještaju u destinaciji u kalendarskom mjesecu s najvećim brojem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 Broj stanovnika u destinaciji koji imaju pristup sigurnoj vodi ili imaju priključak na javnu vodoopskrbu ili imaju mogućnost priključenja na javnu vodoopskrbu u destinaciji</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N/P</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/potencijalni izvor</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Javni isporučitelji vodne usluge – Vodovod/komunalno poduzeće, interni izvještaji o mjesečnoj potrošnji vode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Javni isporučitelji vodne usluge – Vodovod/komunalno poduzeće, interni izvještaji o mjesečnoj potrošnji vode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 5. eVisitor</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6. DZS, Naselja obuhvaćena mrežom javne vodoopskrbe i Statističko izvješće – Stanovništvo RH (godišnje procjene)</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i podatkovni jaz</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6. Podatak je dostupan</w:t>
            </w:r>
          </w:p>
        </w:tc>
      </w:tr>
      <w:tr w:rsidR="00702E3C">
        <w:tc>
          <w:tcPr>
            <w:tcW w:w="1410"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2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6. Svake dvije godine</w:t>
            </w:r>
          </w:p>
        </w:tc>
      </w:tr>
      <w:tr w:rsidR="00702E3C">
        <w:tc>
          <w:tcPr>
            <w:tcW w:w="3678" w:type="dxa"/>
            <w:gridSpan w:val="2"/>
            <w:tcBorders>
              <w:top w:val="single" w:sz="6" w:space="0" w:color="auto"/>
              <w:left w:val="single" w:sz="6" w:space="0" w:color="auto"/>
              <w:bottom w:val="single" w:sz="6" w:space="0" w:color="auto"/>
              <w:right w:val="single" w:sz="6" w:space="0" w:color="auto"/>
            </w:tcBorders>
            <w:shd w:val="clear" w:color="auto" w:fill="90C226" w:themeFill="accent1"/>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se izračunava kao omjer (%) finalne potrošnje vode po noćenju turista (m</w:t>
            </w:r>
            <w:r>
              <w:rPr>
                <w:rFonts w:ascii="Times New Roman" w:eastAsia="Times New Roman" w:hAnsi="Times New Roman" w:cs="Times New Roman"/>
                <w:kern w:val="0"/>
                <w:sz w:val="18"/>
                <w:szCs w:val="18"/>
                <w:vertAlign w:val="superscript"/>
                <w:lang w:eastAsia="hr-HR"/>
                <w14:ligatures w14:val="none"/>
              </w:rPr>
              <w:t>3</w:t>
            </w:r>
            <w:r>
              <w:rPr>
                <w:rFonts w:ascii="Times New Roman" w:eastAsia="Times New Roman" w:hAnsi="Times New Roman" w:cs="Times New Roman"/>
                <w:kern w:val="0"/>
                <w:sz w:val="18"/>
                <w:szCs w:val="18"/>
                <w:lang w:eastAsia="hr-HR"/>
                <w14:ligatures w14:val="none"/>
              </w:rPr>
              <w:t>) u smještajnim objektima destinacije i u odnosu na potrošnju vode po stanovniku destinacije (m</w:t>
            </w:r>
            <w:r>
              <w:rPr>
                <w:rFonts w:ascii="Times New Roman" w:eastAsia="Times New Roman" w:hAnsi="Times New Roman" w:cs="Times New Roman"/>
                <w:kern w:val="0"/>
                <w:sz w:val="18"/>
                <w:szCs w:val="18"/>
                <w:vertAlign w:val="superscript"/>
                <w:lang w:eastAsia="hr-HR"/>
                <w14:ligatures w14:val="none"/>
              </w:rPr>
              <w:t>3</w:t>
            </w:r>
            <w:r>
              <w:rPr>
                <w:rFonts w:ascii="Times New Roman" w:eastAsia="Times New Roman" w:hAnsi="Times New Roman" w:cs="Times New Roman"/>
                <w:kern w:val="0"/>
                <w:sz w:val="18"/>
                <w:szCs w:val="18"/>
                <w:lang w:eastAsia="hr-HR"/>
                <w14:ligatures w14:val="none"/>
              </w:rPr>
              <w:t>).</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F</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ukupna finalna potrošnja vode u kućanstvima i smještajnim objektima u kalendarskom mjesecu s najmanjim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F</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ukupna finalna potrošnja vode u kućanstvima i smještajnim objektima kalendarskom mjesecu s najvećim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ostvarenih turističkih noćenja u smještajnim objektima u kalendarskom mjesecu s najmanjim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ostvarenih turističkih noćenja u smještajnim objektima u kalendarskom mjesecu s najvećim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N</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dana u mjesecu s najmanjim brojem turističkih noćenja (28/29/30/31)</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N</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dana u mjesecu s najvećim brojem turističkih noćenja (28/29/30/31)</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S – </w:t>
            </w:r>
            <w:r>
              <w:rPr>
                <w:rFonts w:ascii="Times New Roman" w:eastAsia="Times New Roman" w:hAnsi="Times New Roman" w:cs="Times New Roman"/>
                <w:kern w:val="0"/>
                <w:sz w:val="18"/>
                <w:szCs w:val="18"/>
                <w:lang w:eastAsia="hr-HR"/>
                <w14:ligatures w14:val="none"/>
              </w:rPr>
              <w:t>broj stanovnika u destinaciji</w:t>
            </w:r>
          </w:p>
          <w:p w:rsidR="00702E3C" w:rsidRDefault="004B1C83">
            <w:pPr>
              <w:spacing w:after="0" w:line="240" w:lineRule="auto"/>
              <w:jc w:val="center"/>
              <w:textAlignment w:val="baseline"/>
              <w:rPr>
                <w:rFonts w:ascii="Times New Roman" w:eastAsia="Times New Roman" w:hAnsi="Times New Roman" w:cs="Times New Roman"/>
                <w:sz w:val="16"/>
                <w:szCs w:val="16"/>
              </w:rPr>
            </w:pPr>
            <m:oMath>
              <m:r>
                <m:rPr>
                  <m:sty m:val="p"/>
                </m:rPr>
                <w:rPr>
                  <w:rFonts w:ascii="Cambria Math" w:hAnsi="Cambria Math" w:cs="Times New Roman"/>
                  <w:sz w:val="24"/>
                  <w:szCs w:val="24"/>
                </w:rPr>
                <m:t>udio vode po noćenju turista =</m:t>
              </m:r>
            </m:oMath>
            <w:r>
              <w:rPr>
                <w:rFonts w:ascii="Times New Roman" w:eastAsia="Times New Roman" w:hAnsi="Times New Roman" w:cs="Times New Roman"/>
                <w:sz w:val="18"/>
                <w:szCs w:val="18"/>
              </w:rPr>
              <w:t xml:space="preserve">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2   </m:t>
                      </m:r>
                    </m:sub>
                  </m:sSub>
                </m:num>
                <m:den>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2 </m:t>
                      </m:r>
                    </m:sub>
                  </m:sSub>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oMath>
          </w:p>
          <w:p w:rsidR="00702E3C" w:rsidRDefault="00702E3C">
            <w:pPr>
              <w:spacing w:after="0" w:line="240" w:lineRule="auto"/>
              <w:jc w:val="center"/>
              <w:textAlignment w:val="baseline"/>
              <w:rPr>
                <w:rFonts w:ascii="Times New Roman" w:eastAsia="Times New Roman" w:hAnsi="Times New Roman" w:cs="Times New Roman"/>
                <w:sz w:val="18"/>
                <w:szCs w:val="18"/>
              </w:rPr>
            </w:pPr>
          </w:p>
          <w:p w:rsidR="00702E3C" w:rsidRDefault="004B1C83">
            <w:pPr>
              <w:spacing w:after="0" w:line="240" w:lineRule="auto"/>
              <w:jc w:val="center"/>
              <w:textAlignment w:val="baseline"/>
              <w:rPr>
                <w:rFonts w:ascii="Times New Roman" w:eastAsia="Times New Roman" w:hAnsi="Times New Roman" w:cs="Times New Roman"/>
                <w:sz w:val="24"/>
                <w:szCs w:val="24"/>
              </w:rPr>
            </w:pPr>
            <m:oMath>
              <m:r>
                <w:rPr>
                  <w:rFonts w:ascii="Cambria Math" w:hAnsi="Cambria Math" w:cs="Times New Roman"/>
                  <w:sz w:val="24"/>
                  <w:szCs w:val="24"/>
                </w:rPr>
                <m:t>potro</m:t>
              </m:r>
              <m:r>
                <m:rPr>
                  <m:sty m:val="p"/>
                </m:rPr>
                <w:rPr>
                  <w:rFonts w:ascii="Cambria Math" w:hAnsi="Cambria Math" w:cs="Times New Roman"/>
                  <w:sz w:val="24"/>
                  <w:szCs w:val="24"/>
                </w:rPr>
                <m:t>š</m:t>
              </m:r>
              <m:r>
                <w:rPr>
                  <w:rFonts w:ascii="Cambria Math" w:hAnsi="Cambria Math" w:cs="Times New Roman"/>
                  <w:sz w:val="24"/>
                  <w:szCs w:val="24"/>
                </w:rPr>
                <m:t>nja</m:t>
              </m:r>
              <m:r>
                <m:rPr>
                  <m:sty m:val="p"/>
                </m:rPr>
                <w:rPr>
                  <w:rFonts w:ascii="Cambria Math" w:hAnsi="Cambria Math" w:cs="Times New Roman"/>
                  <w:sz w:val="24"/>
                  <w:szCs w:val="24"/>
                </w:rPr>
                <m:t xml:space="preserve"> </m:t>
              </m:r>
              <m:r>
                <w:rPr>
                  <w:rFonts w:ascii="Cambria Math" w:hAnsi="Cambria Math" w:cs="Times New Roman"/>
                  <w:sz w:val="24"/>
                  <w:szCs w:val="24"/>
                </w:rPr>
                <m:t>vode</m:t>
              </m:r>
              <m:r>
                <m:rPr>
                  <m:sty m:val="p"/>
                </m:rPr>
                <w:rPr>
                  <w:rFonts w:ascii="Cambria Math" w:hAnsi="Cambria Math" w:cs="Times New Roman"/>
                  <w:sz w:val="24"/>
                  <w:szCs w:val="24"/>
                </w:rPr>
                <m:t xml:space="preserve"> </m:t>
              </m:r>
              <m:r>
                <w:rPr>
                  <w:rFonts w:ascii="Cambria Math" w:hAnsi="Cambria Math" w:cs="Times New Roman"/>
                  <w:sz w:val="24"/>
                  <w:szCs w:val="24"/>
                </w:rPr>
                <m:t>po</m:t>
              </m:r>
              <m:r>
                <m:rPr>
                  <m:sty m:val="p"/>
                </m:rPr>
                <w:rPr>
                  <w:rFonts w:ascii="Cambria Math" w:hAnsi="Cambria Math" w:cs="Times New Roman"/>
                  <w:sz w:val="24"/>
                  <w:szCs w:val="24"/>
                </w:rPr>
                <m:t xml:space="preserve"> </m:t>
              </m:r>
              <m:r>
                <w:rPr>
                  <w:rFonts w:ascii="Cambria Math" w:hAnsi="Cambria Math" w:cs="Times New Roman"/>
                  <w:sz w:val="24"/>
                  <w:szCs w:val="24"/>
                </w:rPr>
                <m:t>no</m:t>
              </m:r>
              <m:r>
                <m:rPr>
                  <m:sty m:val="p"/>
                </m:rPr>
                <w:rPr>
                  <w:rFonts w:ascii="Cambria Math" w:hAnsi="Cambria Math" w:cs="Times New Roman"/>
                  <w:sz w:val="24"/>
                  <w:szCs w:val="24"/>
                </w:rPr>
                <m:t>ć</m:t>
              </m:r>
              <m:r>
                <w:rPr>
                  <w:rFonts w:ascii="Cambria Math" w:hAnsi="Cambria Math" w:cs="Times New Roman"/>
                  <w:sz w:val="24"/>
                  <w:szCs w:val="24"/>
                </w:rPr>
                <m:t>enju</m:t>
              </m:r>
              <m:r>
                <m:rPr>
                  <m:sty m:val="p"/>
                </m:rPr>
                <w:rPr>
                  <w:rFonts w:ascii="Cambria Math" w:hAnsi="Cambria Math" w:cs="Times New Roman"/>
                  <w:sz w:val="24"/>
                  <w:szCs w:val="24"/>
                </w:rPr>
                <m:t xml:space="preserve"> </m:t>
              </m:r>
              <m:r>
                <w:rPr>
                  <w:rFonts w:ascii="Cambria Math" w:hAnsi="Cambria Math" w:cs="Times New Roman"/>
                  <w:sz w:val="24"/>
                  <w:szCs w:val="24"/>
                </w:rPr>
                <m:t>turista</m:t>
              </m:r>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S</m:t>
                  </m:r>
                </m:den>
              </m:f>
            </m:oMath>
            <w:r>
              <w:rPr>
                <w:rFonts w:ascii="Times New Roman" w:eastAsia="Times New Roman" w:hAnsi="Times New Roman" w:cs="Times New Roman"/>
                <w:sz w:val="18"/>
                <w:szCs w:val="18"/>
              </w:rPr>
              <w:t xml:space="preserve"> </w:t>
            </w:r>
            <m:oMath>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2   </m:t>
                          </m:r>
                        </m:sub>
                      </m:sSub>
                    </m:num>
                    <m:den>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2 </m:t>
                          </m:r>
                        </m:sub>
                      </m:sSub>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d>
              <m:r>
                <w:rPr>
                  <w:rFonts w:ascii="Cambria Math" w:hAnsi="Cambria Math" w:cs="Times New Roman"/>
                  <w:sz w:val="24"/>
                  <w:szCs w:val="24"/>
                </w:rPr>
                <m:t xml:space="preserve"> </m:t>
              </m:r>
            </m:oMath>
          </w:p>
          <w:p w:rsidR="00702E3C" w:rsidRDefault="00702E3C">
            <w:pPr>
              <w:spacing w:after="0" w:line="240" w:lineRule="auto"/>
              <w:jc w:val="center"/>
              <w:textAlignment w:val="baseline"/>
              <w:rPr>
                <w:rFonts w:ascii="Times New Roman" w:eastAsia="Times New Roman" w:hAnsi="Times New Roman" w:cs="Times New Roman"/>
                <w:sz w:val="24"/>
                <w:szCs w:val="24"/>
              </w:rPr>
            </w:pPr>
          </w:p>
          <w:p w:rsidR="00702E3C" w:rsidRDefault="004B1C83">
            <w:pPr>
              <w:spacing w:after="0" w:line="240" w:lineRule="auto"/>
              <w:jc w:val="center"/>
              <w:textAlignment w:val="baseline"/>
              <w:rPr>
                <w:rFonts w:ascii="Times New Roman" w:eastAsia="Times New Roman" w:hAnsi="Times New Roman" w:cs="Times New Roman"/>
                <w:sz w:val="16"/>
                <w:szCs w:val="16"/>
              </w:rPr>
            </w:pPr>
            <m:oMath>
              <m:r>
                <w:rPr>
                  <w:rFonts w:ascii="Cambria Math" w:hAnsi="Cambria Math" w:cs="Times New Roman"/>
                  <w:sz w:val="24"/>
                  <w:szCs w:val="24"/>
                </w:rPr>
                <m:t xml:space="preserve">omjer potrošnje vode po noćenju turista i stanovnika </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 xml:space="preserve">potrošnja vode po noćenju turista </m:t>
                  </m:r>
                </m:num>
                <m:den>
                  <m:r>
                    <w:rPr>
                      <w:rFonts w:ascii="Cambria Math" w:hAnsi="Cambria Math" w:cs="Times New Roman"/>
                      <w:sz w:val="24"/>
                      <w:szCs w:val="24"/>
                    </w:rPr>
                    <m:t xml:space="preserve">potrošnja vode po noćenju stanovnika </m:t>
                  </m:r>
                </m:den>
              </m:f>
              <m:r>
                <w:rPr>
                  <w:rFonts w:ascii="Cambria Math" w:hAnsi="Cambria Math" w:cs="Times New Roman"/>
                  <w:sz w:val="24"/>
                  <w:szCs w:val="24"/>
                </w:rPr>
                <m:t>x 100</m:t>
              </m:r>
            </m:oMath>
            <w:r>
              <w:rPr>
                <w:rFonts w:ascii="Times New Roman" w:eastAsia="Times New Roman" w:hAnsi="Times New Roman" w:cs="Times New Roman"/>
                <w:sz w:val="18"/>
                <w:szCs w:val="18"/>
              </w:rPr>
              <w:t xml:space="preserve"> </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Alternativna metoda: Anketa gospodarskih subjekata u turizmu u smještajnim objektima = norma potrošnje vode turista po noćenju / potrošnja vode</w:t>
            </w:r>
          </w:p>
        </w:tc>
      </w:tr>
      <w:tr w:rsidR="00702E3C">
        <w:tc>
          <w:tcPr>
            <w:tcW w:w="3678" w:type="dxa"/>
            <w:gridSpan w:val="2"/>
            <w:tcBorders>
              <w:top w:val="single" w:sz="6" w:space="0" w:color="auto"/>
              <w:left w:val="single" w:sz="6" w:space="0" w:color="auto"/>
              <w:bottom w:val="single" w:sz="6" w:space="0" w:color="auto"/>
              <w:right w:val="single" w:sz="6" w:space="0" w:color="auto"/>
            </w:tcBorders>
            <w:shd w:val="clear" w:color="auto" w:fill="FAE0D0" w:themeFill="accent4"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107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dvije godine</w:t>
            </w:r>
          </w:p>
        </w:tc>
      </w:tr>
      <w:tr w:rsidR="00702E3C">
        <w:tc>
          <w:tcPr>
            <w:tcW w:w="3678"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387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344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345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2031.</w:t>
            </w:r>
          </w:p>
        </w:tc>
      </w:tr>
      <w:tr w:rsidR="00702E3C">
        <w:tc>
          <w:tcPr>
            <w:tcW w:w="367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25 %</w:t>
            </w:r>
          </w:p>
        </w:tc>
        <w:tc>
          <w:tcPr>
            <w:tcW w:w="387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4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5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702E3C">
      <w:pPr>
        <w:pStyle w:val="Odlomakpopisa"/>
        <w:shd w:val="clear" w:color="auto" w:fill="FFFFFF"/>
        <w:spacing w:after="0" w:line="240" w:lineRule="auto"/>
        <w:ind w:left="360"/>
        <w:textAlignment w:val="baseline"/>
        <w:rPr>
          <w:rFonts w:ascii="Times New Roman" w:eastAsia="Times New Roman" w:hAnsi="Times New Roman" w:cs="Times New Roman"/>
          <w:b/>
          <w:bCs/>
          <w:kern w:val="0"/>
          <w:sz w:val="20"/>
          <w:szCs w:val="20"/>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83" w:name="_Toc217040712"/>
      <w:r>
        <w:rPr>
          <w:rFonts w:ascii="Times New Roman" w:eastAsia="Times New Roman" w:hAnsi="Times New Roman" w:cs="Times New Roman"/>
          <w:lang w:eastAsia="hr-HR"/>
        </w:rPr>
        <w:lastRenderedPageBreak/>
        <w:t>Gospodarenje otpadom</w:t>
      </w:r>
      <w:bookmarkEnd w:id="83"/>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4451" w:type="dxa"/>
        <w:shd w:val="clear" w:color="auto" w:fill="FFFFFF"/>
        <w:tblCellMar>
          <w:left w:w="0" w:type="dxa"/>
          <w:right w:w="0" w:type="dxa"/>
        </w:tblCellMar>
        <w:tblLook w:val="04A0" w:firstRow="1" w:lastRow="0" w:firstColumn="1" w:lastColumn="0" w:noHBand="0" w:noVBand="1"/>
      </w:tblPr>
      <w:tblGrid>
        <w:gridCol w:w="1693"/>
        <w:gridCol w:w="1591"/>
        <w:gridCol w:w="3722"/>
        <w:gridCol w:w="3722"/>
        <w:gridCol w:w="3723"/>
      </w:tblGrid>
      <w:tr w:rsidR="00702E3C">
        <w:tc>
          <w:tcPr>
            <w:tcW w:w="1693" w:type="dxa"/>
            <w:tcBorders>
              <w:top w:val="single" w:sz="6" w:space="0" w:color="auto"/>
              <w:left w:val="single" w:sz="6" w:space="0" w:color="auto"/>
              <w:bottom w:val="single" w:sz="6" w:space="0" w:color="auto"/>
              <w:right w:val="single" w:sz="6" w:space="0" w:color="auto"/>
            </w:tcBorders>
            <w:shd w:val="clear" w:color="auto" w:fill="90C226" w:themeFill="accent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758" w:type="dxa"/>
            <w:gridSpan w:val="4"/>
            <w:tcBorders>
              <w:top w:val="single" w:sz="6" w:space="0" w:color="auto"/>
              <w:left w:val="single" w:sz="6" w:space="0" w:color="auto"/>
              <w:bottom w:val="single" w:sz="6" w:space="0" w:color="auto"/>
              <w:right w:val="single" w:sz="6" w:space="0" w:color="auto"/>
            </w:tcBorders>
            <w:shd w:val="clear" w:color="auto" w:fill="90C226" w:themeFill="accent1"/>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Omjer količine komunalnog otpada nastale po noćenju turista i količine otpada koje generira stanovništvo u destinaciji (tone) (GO-1)</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w:t>
            </w:r>
            <w:r>
              <w:rPr>
                <w:rFonts w:ascii="Times New Roman" w:eastAsia="Times New Roman" w:hAnsi="Times New Roman" w:cs="Times New Roman"/>
                <w:kern w:val="0"/>
                <w:sz w:val="18"/>
                <w:szCs w:val="18"/>
                <w:lang w:eastAsia="hr-HR"/>
                <w14:ligatures w14:val="none"/>
              </w:rPr>
              <w:softHyphen/>
              <w:t>arodnim sustavima</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ETIS: Količina otpada koju proizvodi odredište (tone po stanovniku po godini ili po mjesecu) (D.3.1.) (prilagođeno)</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gospodarenje otpadom</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Održivi gradovi i zajednice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12 Odgovorna potrošnja i proizvodnja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Smanjenje negativnog utjecaja turizma na sastavnice okoliša, prirodu i prostor</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prati omjer količina komunalnog otpada nastalog po noćenju turista u smještaju u usporedbi s količinama otpada koje generira stanovništvo u destinaciji (tone po stanovniku, u kalendarskom mjesecu s najvećim brojem noćenja)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prati ostvarenje veze između proizvodnje otpada u turizmu i gospodarskog rasta te uspješnost sprečavanja nastanka otpada u destinaciji. Ukazuje na okolišni aspekti rizika u turističkim destinacijama gdje nedovoljno adekvatna infrastruktura gospodarenja otpadom u kombinaciji sa povećanom turističkom aktivnosti može ugroziti konkurentnost turističke destinacije. Pokazatelj je važan za atraktivnost destinacije i u slučaju neuređenog ili preopterećenog (prekapacitiranog) sustava gospodarenja otpadom što predstavlja ograničavajući čimbenik razvoja destinacije.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Noćenja turista jesu svaka registrirana noć osobe (turista) u objektu koji pruža uslugu smještaja (prijavljena noćenja u komercijalnom i nekomercijalnom smještaju u sustavu eVisitor).</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Komunalni otpad je miješani komunalni otpad i odvojeno sakupljeni otpad. Javna usluga sakupljanja komunalnog otpada podrazumijeva prikupljanje komunalnog otpada na području pružanja javne usluge putem spremnika od pojedinog korisnika i prijevoz i predaju tog otpada ovlaštenoj osobi za obradu takvoga otpada.</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podataka</w:t>
            </w: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Ukupne količine komunalnog otpada nastalog u destinaciji u kalendarskom mjesecu s najmanjim brojem noćenja (tone)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Ukupne količine komunalnog otpada nastalog u destinaciji kalendarskom mjesecu s najvećim brojem noćenja (tone)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 xml:space="preserve">3. Ukupan broj ostvarenih turističkih noćenja u smještajnim objektima destinacije u kalendarskom mjesecu s najmanjim brojem noćenja </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4. Ukupan broj ostvarenih turističkih noćenja u smještajnim objektima destinacije u kalendarskom mjesecu s najvećim brojem noćenja </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 Broj stanovnika u destinaciji</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tone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4 i 5. N/P</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/potencijalni izvor</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pružatelj javne usluge koje je a) trgovačko društvo koje osniva jedna ili više jedinica lokalne samouprave (JLS), temeljem odluke predstavničkog tijela JLS ili pravna ili b) fizička osoba – obrtnik temeljem koncesije dodijeljene odlukom predstavničkog tijela JLS / Upravni odjeli jedinica lokalne/područje samouprave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 4. eVisitor</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 DZS, Popis stanovništva RH (godišnje procjene)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i podatkovni jaz</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Podatak je dostupan (potencijalno djelomična dostupnost kvalitetnih/verificiranih podataka na razini pojedinih gradova/općina)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i 4. Podatak je dostupan</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 Podatak je dostupan</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15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5. Svake dvije godine</w:t>
            </w:r>
          </w:p>
        </w:tc>
      </w:tr>
      <w:tr w:rsidR="00702E3C">
        <w:tc>
          <w:tcPr>
            <w:tcW w:w="3284" w:type="dxa"/>
            <w:gridSpan w:val="2"/>
            <w:tcBorders>
              <w:top w:val="single" w:sz="6" w:space="0" w:color="auto"/>
              <w:left w:val="single" w:sz="6" w:space="0" w:color="auto"/>
              <w:bottom w:val="single" w:sz="6" w:space="0" w:color="auto"/>
              <w:right w:val="single" w:sz="6" w:space="0" w:color="auto"/>
            </w:tcBorders>
            <w:shd w:val="clear" w:color="auto" w:fill="90C226" w:themeFill="accent1"/>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se izračunava kao omjer količine otpada nastalog po noćenju turista u smještaju u odnosu na ukupne količine komunalnog otpada nastale u destinaciji u mjesecima s najnižom i najvišom turističkom aktivnosti</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F</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ukupne količine komunalnog otpada nastalog u destinaciji u kalendarskom mjesecu s najmanjim brojem noćenja (tone)</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F</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ukupne količine komunalnog otpada nastalog u destinaciji u kalendarskom mjesecu s najvećim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ostvarenih turističkih noćenja u smještajnim objektima u kalendarskom mjesecu s najmanjim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ostvarenih turističkih noćenja u smještajnim objektima u kalendarskom mjesecu s najvećim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S – </w:t>
            </w:r>
            <w:r>
              <w:rPr>
                <w:rFonts w:ascii="Times New Roman" w:eastAsia="Times New Roman" w:hAnsi="Times New Roman" w:cs="Times New Roman"/>
                <w:kern w:val="0"/>
                <w:sz w:val="18"/>
                <w:szCs w:val="18"/>
                <w:lang w:eastAsia="hr-HR"/>
                <w14:ligatures w14:val="none"/>
              </w:rPr>
              <w:t>broj stanovnika u destinaciji</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N</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dana u mjesecu s najmanjim brojem turističkih noćenja (28/29/30/31)</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N</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dana u mjesecu s najvećim brojem turističkih noćenja (28/29/30/31)</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W</w:t>
            </w:r>
            <w:r>
              <w:rPr>
                <w:rFonts w:ascii="Times New Roman" w:eastAsia="Times New Roman" w:hAnsi="Times New Roman" w:cs="Times New Roman"/>
                <w:i/>
                <w:iCs/>
                <w:kern w:val="0"/>
                <w:sz w:val="18"/>
                <w:szCs w:val="18"/>
                <w:vertAlign w:val="subscript"/>
                <w:lang w:eastAsia="hr-HR"/>
                <w14:ligatures w14:val="none"/>
              </w:rPr>
              <w:t>TN</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količina otpada po turističkom noćenju,</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2D0BA4">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RN</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2   </m:t>
                        </m:r>
                      </m:sub>
                    </m:sSub>
                  </m:num>
                  <m:den>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2 </m:t>
                        </m:r>
                      </m:sub>
                    </m:sSub>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oMath>
            </m:oMathPara>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W</w:t>
            </w:r>
            <w:r>
              <w:rPr>
                <w:rFonts w:ascii="Times New Roman" w:eastAsia="Times New Roman" w:hAnsi="Times New Roman" w:cs="Times New Roman"/>
                <w:i/>
                <w:iCs/>
                <w:kern w:val="0"/>
                <w:sz w:val="18"/>
                <w:szCs w:val="18"/>
                <w:vertAlign w:val="subscript"/>
                <w:lang w:eastAsia="hr-HR"/>
                <w14:ligatures w14:val="none"/>
              </w:rPr>
              <w:t>RN</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količina otpada po noćenju stanovnika,</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2D0BA4">
            <w:pPr>
              <w:spacing w:after="0" w:line="240" w:lineRule="auto"/>
              <w:jc w:val="center"/>
              <w:textAlignment w:val="baseline"/>
              <w:rPr>
                <w:rFonts w:ascii="Times New Roman" w:eastAsia="Times New Roman" w:hAnsi="Times New Roman" w:cs="Times New Roman"/>
                <w:sz w:val="24"/>
                <w:szCs w:val="24"/>
              </w:rPr>
            </w:pPr>
            <m:oMath>
              <m:sSub>
                <m:sSubPr>
                  <m:ctrlPr>
                    <w:rPr>
                      <w:rFonts w:ascii="Cambria Math" w:hAnsi="Cambria Math" w:cs="Times New Roman"/>
                      <w:sz w:val="28"/>
                      <w:szCs w:val="28"/>
                    </w:rPr>
                  </m:ctrlPr>
                </m:sSubPr>
                <m:e>
                  <m:r>
                    <w:rPr>
                      <w:rFonts w:ascii="Cambria Math" w:hAnsi="Cambria Math" w:cs="Times New Roman"/>
                      <w:sz w:val="28"/>
                      <w:szCs w:val="28"/>
                    </w:rPr>
                    <m:t>W</m:t>
                  </m:r>
                </m:e>
                <m:sub>
                  <m:r>
                    <w:rPr>
                      <w:rFonts w:ascii="Cambria Math" w:hAnsi="Cambria Math" w:cs="Times New Roman"/>
                      <w:sz w:val="28"/>
                      <w:szCs w:val="28"/>
                    </w:rPr>
                    <m:t>T</m:t>
                  </m:r>
                </m:sub>
              </m:sSub>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S</m:t>
                  </m:r>
                </m:den>
              </m:f>
            </m:oMath>
            <w:r w:rsidR="004B1C83">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 xml:space="preserve">2   </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 xml:space="preserve">2 </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en>
                  </m:f>
                </m:e>
              </m:d>
            </m:oMath>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W</w:t>
            </w:r>
            <w:r>
              <w:rPr>
                <w:rFonts w:ascii="Times New Roman" w:eastAsia="Times New Roman" w:hAnsi="Times New Roman" w:cs="Times New Roman"/>
                <w:i/>
                <w:iCs/>
                <w:kern w:val="0"/>
                <w:sz w:val="18"/>
                <w:szCs w:val="18"/>
                <w:vertAlign w:val="subscript"/>
                <w:lang w:eastAsia="hr-HR"/>
                <w14:ligatures w14:val="none"/>
              </w:rPr>
              <w:t>T</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količina otpada nastalog zbog noćenja turizma u vremenskom intervalu (mjesec s najvećim brojem noćenja). Izračunava se kao umnožak broja noćenja u kalendarskom mjesecu s najvećim brojem noćenja (T2) i količine otpada po turističkom noćenju (W</w:t>
            </w:r>
            <w:r>
              <w:rPr>
                <w:rFonts w:ascii="Times New Roman" w:eastAsia="Times New Roman" w:hAnsi="Times New Roman" w:cs="Times New Roman"/>
                <w:kern w:val="0"/>
                <w:sz w:val="18"/>
                <w:szCs w:val="18"/>
                <w:vertAlign w:val="subscript"/>
                <w:lang w:eastAsia="hr-HR"/>
                <w14:ligatures w14:val="none"/>
              </w:rPr>
              <w:t>TN</w:t>
            </w:r>
            <w:r>
              <w:rPr>
                <w:rFonts w:ascii="Times New Roman" w:eastAsia="Times New Roman" w:hAnsi="Times New Roman" w:cs="Times New Roman"/>
                <w:kern w:val="0"/>
                <w:sz w:val="18"/>
                <w:szCs w:val="18"/>
                <w:lang w:eastAsia="hr-HR"/>
                <w14:ligatures w14:val="none"/>
              </w:rPr>
              <w:t>),</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textAlignment w:val="baseline"/>
              <w:rPr>
                <w:rFonts w:ascii="Times New Roman" w:eastAsia="Times New Roman" w:hAnsi="Times New Roman" w:cs="Times New Roman"/>
                <w:sz w:val="24"/>
                <w:szCs w:val="24"/>
              </w:rPr>
            </w:pPr>
          </w:p>
          <w:p w:rsidR="00702E3C" w:rsidRDefault="002D0BA4">
            <w:pPr>
              <w:spacing w:after="0" w:line="240" w:lineRule="auto"/>
              <w:textAlignment w:val="baseline"/>
              <w:rPr>
                <w:rFonts w:ascii="Times New Roman" w:eastAsia="Times New Roman" w:hAnsi="Times New Roman" w:cs="Times New Roman"/>
                <w:kern w:val="0"/>
                <w:sz w:val="18"/>
                <w:szCs w:val="18"/>
                <w:lang w:eastAsia="hr-HR"/>
                <w14:ligatures w14:val="none"/>
              </w:rPr>
            </w:pPr>
            <m:oMathPara>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TN</m:t>
                    </m:r>
                  </m:sub>
                </m:sSub>
              </m:oMath>
            </m:oMathPara>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W</w:t>
            </w:r>
            <w:r>
              <w:rPr>
                <w:rFonts w:ascii="Times New Roman" w:eastAsia="Times New Roman" w:hAnsi="Times New Roman" w:cs="Times New Roman"/>
                <w:i/>
                <w:iCs/>
                <w:kern w:val="0"/>
                <w:sz w:val="18"/>
                <w:szCs w:val="18"/>
                <w:vertAlign w:val="subscript"/>
                <w:lang w:eastAsia="hr-HR"/>
                <w14:ligatures w14:val="none"/>
              </w:rPr>
              <w:t>R</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količina otpada od lokalnog stanovništva u destinaciji u vremenskom intervalu (mjesec s najvećim brojem noćenja). Izračunava se kao umnožak broja stanovnika (S), broja dana u kalendarskom mjesecu s najvećim brojem noćenja (N2)i količine otpada po noćenju stanovnika (W</w:t>
            </w:r>
            <w:r>
              <w:rPr>
                <w:rFonts w:ascii="Times New Roman" w:eastAsia="Times New Roman" w:hAnsi="Times New Roman" w:cs="Times New Roman"/>
                <w:kern w:val="0"/>
                <w:sz w:val="18"/>
                <w:szCs w:val="18"/>
                <w:vertAlign w:val="subscript"/>
                <w:lang w:eastAsia="hr-HR"/>
                <w14:ligatures w14:val="none"/>
              </w:rPr>
              <w:t>RN</w:t>
            </w:r>
            <w:r>
              <w:rPr>
                <w:rFonts w:ascii="Times New Roman" w:eastAsia="Times New Roman" w:hAnsi="Times New Roman" w:cs="Times New Roman"/>
                <w:kern w:val="0"/>
                <w:sz w:val="18"/>
                <w:szCs w:val="18"/>
                <w:lang w:eastAsia="hr-HR"/>
                <w14:ligatures w14:val="none"/>
              </w:rPr>
              <w:t>),</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textAlignment w:val="baseline"/>
              <w:rPr>
                <w:rFonts w:ascii="Times New Roman" w:eastAsia="Times New Roman" w:hAnsi="Times New Roman" w:cs="Times New Roman"/>
                <w:sz w:val="24"/>
                <w:szCs w:val="24"/>
              </w:rPr>
            </w:pPr>
          </w:p>
          <w:p w:rsidR="00702E3C" w:rsidRDefault="002D0BA4">
            <w:pPr>
              <w:spacing w:after="0" w:line="240" w:lineRule="auto"/>
              <w:textAlignment w:val="baseline"/>
              <w:rPr>
                <w:rFonts w:ascii="Times New Roman" w:eastAsia="Times New Roman" w:hAnsi="Times New Roman" w:cs="Times New Roman"/>
                <w:kern w:val="0"/>
                <w:sz w:val="18"/>
                <w:szCs w:val="18"/>
                <w:lang w:eastAsia="hr-HR"/>
                <w14:ligatures w14:val="none"/>
              </w:rPr>
            </w:pPr>
            <m:oMathPara>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R</m:t>
                    </m:r>
                  </m:sub>
                </m:sSub>
                <m:r>
                  <w:rPr>
                    <w:rFonts w:ascii="Cambria Math" w:hAnsi="Cambria Math" w:cs="Times New Roman"/>
                    <w:sz w:val="24"/>
                    <w:szCs w:val="24"/>
                  </w:rPr>
                  <m:t>=S×</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2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RN</m:t>
                    </m:r>
                  </m:sub>
                </m:sSub>
              </m:oMath>
            </m:oMathPara>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Omjer količine komunalnog otpada koji su proizveli turisti u komercijalnom smještaju i nekomercijalnom smještaju i lokalno stanovništvo</w:t>
            </w:r>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t xml:space="preserve"> (za promatrani period) </w:t>
            </w:r>
            <m:oMath>
              <m:r>
                <w:rPr>
                  <w:rFonts w:ascii="Cambria Math" w:eastAsia="Times New Roman" w:hAnsi="Cambria Math" w:cs="Times New Roman"/>
                  <w:kern w:val="0"/>
                  <w:sz w:val="24"/>
                  <w:szCs w:val="24"/>
                  <w:lang w:eastAsia="hr-HR"/>
                  <w14:ligatures w14:val="none"/>
                </w:rPr>
                <m:t xml:space="preserve">= </m:t>
              </m:r>
              <m:f>
                <m:fPr>
                  <m:ctrlPr>
                    <w:rPr>
                      <w:rFonts w:ascii="Cambria Math" w:eastAsia="Times New Roman" w:hAnsi="Cambria Math" w:cs="Times New Roman"/>
                      <w:i/>
                      <w:kern w:val="0"/>
                      <w:sz w:val="24"/>
                      <w:szCs w:val="24"/>
                      <w:lang w:eastAsia="hr-HR"/>
                      <w14:ligatures w14:val="none"/>
                    </w:rPr>
                  </m:ctrlPr>
                </m:fPr>
                <m:num>
                  <m:sSub>
                    <m:sSubPr>
                      <m:ctrlPr>
                        <w:rPr>
                          <w:rFonts w:ascii="Cambria Math" w:eastAsia="Times New Roman" w:hAnsi="Cambria Math" w:cs="Times New Roman"/>
                          <w:i/>
                          <w:kern w:val="0"/>
                          <w:sz w:val="24"/>
                          <w:szCs w:val="24"/>
                          <w:lang w:eastAsia="hr-HR"/>
                          <w14:ligatures w14:val="none"/>
                        </w:rPr>
                      </m:ctrlPr>
                    </m:sSubPr>
                    <m:e>
                      <m:r>
                        <w:rPr>
                          <w:rFonts w:ascii="Cambria Math" w:eastAsia="Times New Roman" w:hAnsi="Cambria Math" w:cs="Times New Roman"/>
                          <w:kern w:val="0"/>
                          <w:sz w:val="24"/>
                          <w:szCs w:val="24"/>
                          <w:lang w:eastAsia="hr-HR"/>
                          <w14:ligatures w14:val="none"/>
                        </w:rPr>
                        <m:t>W</m:t>
                      </m:r>
                    </m:e>
                    <m:sub>
                      <m:r>
                        <w:rPr>
                          <w:rFonts w:ascii="Cambria Math" w:eastAsia="Times New Roman" w:hAnsi="Cambria Math" w:cs="Times New Roman"/>
                          <w:kern w:val="0"/>
                          <w:sz w:val="24"/>
                          <w:szCs w:val="24"/>
                          <w:lang w:eastAsia="hr-HR"/>
                          <w14:ligatures w14:val="none"/>
                        </w:rPr>
                        <m:t>T</m:t>
                      </m:r>
                    </m:sub>
                  </m:sSub>
                </m:num>
                <m:den>
                  <m:sSub>
                    <m:sSubPr>
                      <m:ctrlPr>
                        <w:rPr>
                          <w:rFonts w:ascii="Cambria Math" w:eastAsia="Times New Roman" w:hAnsi="Cambria Math" w:cs="Times New Roman"/>
                          <w:i/>
                          <w:kern w:val="0"/>
                          <w:sz w:val="24"/>
                          <w:szCs w:val="24"/>
                          <w:lang w:eastAsia="hr-HR"/>
                          <w14:ligatures w14:val="none"/>
                        </w:rPr>
                      </m:ctrlPr>
                    </m:sSubPr>
                    <m:e>
                      <m:r>
                        <w:rPr>
                          <w:rFonts w:ascii="Cambria Math" w:eastAsia="Times New Roman" w:hAnsi="Cambria Math" w:cs="Times New Roman"/>
                          <w:kern w:val="0"/>
                          <w:sz w:val="24"/>
                          <w:szCs w:val="24"/>
                          <w:lang w:eastAsia="hr-HR"/>
                          <w14:ligatures w14:val="none"/>
                        </w:rPr>
                        <m:t>W</m:t>
                      </m:r>
                    </m:e>
                    <m:sub>
                      <m:r>
                        <w:rPr>
                          <w:rFonts w:ascii="Cambria Math" w:eastAsia="Times New Roman" w:hAnsi="Cambria Math" w:cs="Times New Roman"/>
                          <w:kern w:val="0"/>
                          <w:sz w:val="24"/>
                          <w:szCs w:val="24"/>
                          <w:lang w:eastAsia="hr-HR"/>
                          <w14:ligatures w14:val="none"/>
                        </w:rPr>
                        <m:t>R</m:t>
                      </m:r>
                    </m:sub>
                  </m:sSub>
                </m:den>
              </m:f>
            </m:oMath>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tc>
      </w:tr>
      <w:tr w:rsidR="00702E3C">
        <w:tc>
          <w:tcPr>
            <w:tcW w:w="3284" w:type="dxa"/>
            <w:gridSpan w:val="2"/>
            <w:tcBorders>
              <w:top w:val="single" w:sz="6" w:space="0" w:color="auto"/>
              <w:left w:val="single" w:sz="6" w:space="0" w:color="auto"/>
              <w:bottom w:val="single" w:sz="6" w:space="0" w:color="auto"/>
              <w:right w:val="single" w:sz="6" w:space="0" w:color="auto"/>
            </w:tcBorders>
            <w:shd w:val="clear" w:color="auto" w:fill="FAE0D0" w:themeFill="accent4"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Učestalost mjerenja</w:t>
            </w:r>
          </w:p>
        </w:tc>
        <w:tc>
          <w:tcPr>
            <w:tcW w:w="1116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dvije godine</w:t>
            </w:r>
          </w:p>
        </w:tc>
      </w:tr>
      <w:tr w:rsidR="00702E3C">
        <w:tc>
          <w:tcPr>
            <w:tcW w:w="3284"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3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372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372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2031</w:t>
            </w:r>
          </w:p>
        </w:tc>
      </w:tr>
      <w:tr w:rsidR="00702E3C">
        <w:tc>
          <w:tcPr>
            <w:tcW w:w="328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5,29</w:t>
            </w:r>
          </w:p>
        </w:tc>
        <w:tc>
          <w:tcPr>
            <w:tcW w:w="3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72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72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textAlignment w:val="baseline"/>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84" w:name="_Toc217040713"/>
      <w:r>
        <w:rPr>
          <w:rFonts w:ascii="Times New Roman" w:eastAsia="Times New Roman" w:hAnsi="Times New Roman" w:cs="Times New Roman"/>
          <w:lang w:eastAsia="hr-HR"/>
        </w:rPr>
        <w:lastRenderedPageBreak/>
        <w:t>Zaštita bioraznolikosti</w:t>
      </w:r>
      <w:bookmarkEnd w:id="84"/>
    </w:p>
    <w:p w:rsidR="00702E3C" w:rsidRDefault="00702E3C">
      <w:pPr>
        <w:shd w:val="clear" w:color="auto" w:fill="FFFFFF"/>
        <w:spacing w:after="0" w:line="240" w:lineRule="auto"/>
        <w:textAlignment w:val="baseline"/>
        <w:rPr>
          <w:rFonts w:ascii="Times New Roman" w:eastAsia="Times New Roman" w:hAnsi="Times New Roman" w:cs="Times New Roman"/>
          <w:b/>
          <w:bCs/>
          <w:kern w:val="0"/>
          <w:sz w:val="20"/>
          <w:szCs w:val="20"/>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tbl>
      <w:tblPr>
        <w:tblW w:w="14451" w:type="dxa"/>
        <w:shd w:val="clear" w:color="auto" w:fill="FFFFFF"/>
        <w:tblCellMar>
          <w:left w:w="0" w:type="dxa"/>
          <w:right w:w="0" w:type="dxa"/>
        </w:tblCellMar>
        <w:tblLook w:val="04A0" w:firstRow="1" w:lastRow="0" w:firstColumn="1" w:lastColumn="0" w:noHBand="0" w:noVBand="1"/>
      </w:tblPr>
      <w:tblGrid>
        <w:gridCol w:w="1922"/>
        <w:gridCol w:w="4339"/>
        <w:gridCol w:w="4095"/>
        <w:gridCol w:w="4095"/>
      </w:tblGrid>
      <w:tr w:rsidR="00702E3C">
        <w:tc>
          <w:tcPr>
            <w:tcW w:w="1922" w:type="dxa"/>
            <w:tcBorders>
              <w:top w:val="single" w:sz="6" w:space="0" w:color="auto"/>
              <w:left w:val="single" w:sz="6" w:space="0" w:color="auto"/>
              <w:bottom w:val="single" w:sz="6" w:space="0" w:color="auto"/>
              <w:right w:val="single" w:sz="6" w:space="0" w:color="auto"/>
            </w:tcBorders>
            <w:shd w:val="clear" w:color="auto" w:fill="54A021" w:themeFill="accent2"/>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529" w:type="dxa"/>
            <w:gridSpan w:val="3"/>
            <w:tcBorders>
              <w:top w:val="single" w:sz="6" w:space="0" w:color="auto"/>
              <w:left w:val="single" w:sz="6" w:space="0" w:color="auto"/>
              <w:bottom w:val="single" w:sz="6" w:space="0" w:color="auto"/>
              <w:right w:val="single" w:sz="6" w:space="0" w:color="auto"/>
            </w:tcBorders>
            <w:shd w:val="clear" w:color="auto" w:fill="54A021" w:themeFill="accent2"/>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Udio zaštićenih područja u destinaciji u ukupnoj površini destinacije (ukupno i pojedinačno po kategoriji zaštite) (BR-1)</w:t>
            </w:r>
          </w:p>
        </w:tc>
      </w:tr>
      <w:tr w:rsidR="00702E3C">
        <w:tc>
          <w:tcPr>
            <w:tcW w:w="1922"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433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međunarodnim sustavima</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UN TOURISM – MST – Postotak zaštićenih područja (morskih i kopnenih) prema ukupnoj površini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zaštita bioraznolikosti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13: Klimatske promjene – zaštita prirodnih područja doprinosi ublažavanju klimatskih promjena kroz očuvanje šuma i drugih ekosustava koji apsorbiraju ugljikov dioksid.</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14: Život ispod vode – ovaj cilj uključuje očuvanje i održivo korištenje oceana, mora i morskih resursa. Zaštićena prirodna područja mogu uključivati morske i obalne ekosustave.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15: Život na zemlji – usredotočuje se na zaštitu, obnovu i održivu upotrebu kopnenih ekosustava te očuvanje bioraznolikosti i zaustavljanje degradacije zemljišta i gubitka staništa.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definira udio zaštićenih prirodnih područja (dalje u tekstu: ZPP) (kopnenih i morskih) i područja ekološke mreže Natura 2000, u ukupnoj površini destinacije (jedan ili više JLS-ova), te njihova struktura prema kategoriji zaštite.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Turizam zasnovan na prirodi brzo raste, a jedan od ključnih faktora za iskustvo posjetitelja je kvaliteta okoliša. Bioraznolika područja privlače turiste, posebno ona s infrastrukturom koja omogućava pristupačnost. Očuvanje kopnene i morske bioraznolikosti ključno je za očuvanje značajnih ekonomskih koristi koje države ostvaruju od turizma. Udio zaštićenih područja ukazuje na aktivnosti vezane za očuvanje bioraznolikosti te na očuvanje, obnovu i održivu upotrebu ekosustava i njihovih usluga.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Podpokazatelji (opcionalno)</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udio zaštićenih prirodnih područja i područja ekološke mreže Natura 2000 u ukupnoj površini destinaciji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kategorije zaštićenih prirodnih područja u destinaciji</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Površina zaštićenih prirodnih područja prema kategoriji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Kategorija zaštite prirodnih područja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Površina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numPr>
                <w:ilvl w:val="0"/>
                <w:numId w:val="24"/>
              </w:num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Površina ZPP</w:t>
            </w:r>
          </w:p>
          <w:p w:rsidR="00702E3C" w:rsidRDefault="004B1C83">
            <w:pPr>
              <w:numPr>
                <w:ilvl w:val="0"/>
                <w:numId w:val="25"/>
              </w:numPr>
              <w:spacing w:after="48" w:line="240" w:lineRule="auto"/>
              <w:textAlignment w:val="baseline"/>
              <w:rPr>
                <w:rFonts w:ascii="Times New Roman" w:eastAsia="Times New Roman" w:hAnsi="Times New Roman" w:cs="Times New Roman"/>
                <w:kern w:val="0"/>
                <w:sz w:val="18"/>
                <w:szCs w:val="18"/>
                <w:lang w:val="it-IT" w:eastAsia="hr-HR"/>
                <w14:ligatures w14:val="none"/>
              </w:rPr>
            </w:pPr>
            <w:r>
              <w:rPr>
                <w:rFonts w:ascii="Times New Roman" w:eastAsia="Times New Roman" w:hAnsi="Times New Roman" w:cs="Times New Roman"/>
                <w:kern w:val="0"/>
                <w:sz w:val="18"/>
                <w:szCs w:val="18"/>
                <w:lang w:val="it-IT" w:eastAsia="hr-HR"/>
                <w14:ligatures w14:val="none"/>
              </w:rPr>
              <w:t>Park prirode Telašćica - 6.999,28 ha (kopno 2.595 ha)</w:t>
            </w:r>
          </w:p>
          <w:p w:rsidR="00702E3C" w:rsidRDefault="004B1C83">
            <w:pPr>
              <w:numPr>
                <w:ilvl w:val="0"/>
                <w:numId w:val="25"/>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Značajni krajobraz - 652,16 ha</w:t>
            </w:r>
          </w:p>
          <w:p w:rsidR="00702E3C" w:rsidRDefault="004B1C83">
            <w:pPr>
              <w:numPr>
                <w:ilvl w:val="0"/>
                <w:numId w:val="25"/>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Posebni rezervat - 202,10 ha</w:t>
            </w:r>
          </w:p>
          <w:p w:rsidR="00702E3C" w:rsidRDefault="004B1C83">
            <w:pPr>
              <w:numPr>
                <w:ilvl w:val="0"/>
                <w:numId w:val="25"/>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Ekološka mreža: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Luka Solišćica - 946,19 ha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Uvala Golubinaka - Rt Lopata - 40,67 ha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Uvala Sakarun - 438,55 ha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Z. Obala Dugog otoka - 663,00 ha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Uvala Brbišćica - 37,90 ha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Uvala Zagračina - 16,10 ha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J. Rt o. Zverinac - 118,60 ha</w:t>
            </w:r>
          </w:p>
          <w:p w:rsidR="00702E3C" w:rsidRDefault="004B1C83">
            <w:pPr>
              <w:numPr>
                <w:ilvl w:val="0"/>
                <w:numId w:val="26"/>
              </w:numPr>
              <w:spacing w:after="48" w:line="240" w:lineRule="auto"/>
              <w:textAlignment w:val="baseline"/>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Otok Tukošćak i otok Mrtonjak - 34,00 ha</w:t>
            </w:r>
          </w:p>
          <w:p w:rsidR="00702E3C" w:rsidRDefault="004B1C83">
            <w:pPr>
              <w:spacing w:after="48" w:line="240" w:lineRule="auto"/>
              <w:textAlignment w:val="baseline"/>
              <w:rPr>
                <w:rFonts w:ascii="Times New Roman" w:eastAsia="Times New Roman" w:hAnsi="Times New Roman" w:cs="Times New Roman"/>
                <w:kern w:val="0"/>
                <w:sz w:val="18"/>
                <w:szCs w:val="18"/>
                <w:lang w:val="it-IT" w:eastAsia="hr-HR"/>
                <w14:ligatures w14:val="none"/>
              </w:rPr>
            </w:pPr>
            <w:r>
              <w:rPr>
                <w:rFonts w:ascii="Times New Roman" w:eastAsia="Times New Roman" w:hAnsi="Times New Roman" w:cs="Times New Roman"/>
                <w:kern w:val="0"/>
                <w:sz w:val="18"/>
                <w:szCs w:val="18"/>
                <w:lang w:val="it-IT" w:eastAsia="hr-HR"/>
                <w14:ligatures w14:val="none"/>
              </w:rPr>
              <w:t>Ukupno EM - 2.295,01 ha</w:t>
            </w:r>
          </w:p>
          <w:p w:rsidR="00702E3C" w:rsidRDefault="004B1C83">
            <w:pPr>
              <w:spacing w:after="48" w:line="240" w:lineRule="auto"/>
              <w:textAlignment w:val="baseline"/>
              <w:rPr>
                <w:rFonts w:ascii="Times New Roman" w:eastAsia="Times New Roman" w:hAnsi="Times New Roman" w:cs="Times New Roman"/>
                <w:kern w:val="0"/>
                <w:sz w:val="18"/>
                <w:szCs w:val="18"/>
                <w:lang w:val="it-IT" w:eastAsia="hr-HR"/>
                <w14:ligatures w14:val="none"/>
              </w:rPr>
            </w:pPr>
            <w:r>
              <w:rPr>
                <w:rFonts w:ascii="Times New Roman" w:eastAsia="Times New Roman" w:hAnsi="Times New Roman" w:cs="Times New Roman"/>
                <w:kern w:val="0"/>
                <w:sz w:val="18"/>
                <w:szCs w:val="18"/>
                <w:lang w:eastAsia="hr-HR"/>
                <w14:ligatures w14:val="none"/>
              </w:rPr>
              <w:t>2. Kategorija zaštite</w:t>
            </w:r>
            <w:r>
              <w:rPr>
                <w:rFonts w:ascii="Times New Roman" w:eastAsia="Times New Roman" w:hAnsi="Times New Roman" w:cs="Times New Roman"/>
                <w:kern w:val="0"/>
                <w:sz w:val="18"/>
                <w:szCs w:val="18"/>
                <w:lang w:val="it-IT" w:eastAsia="hr-HR"/>
                <w14:ligatures w14:val="none"/>
              </w:rPr>
              <w:t xml:space="preserve"> </w:t>
            </w:r>
          </w:p>
          <w:p w:rsidR="00702E3C" w:rsidRDefault="004B1C83">
            <w:pPr>
              <w:spacing w:after="48" w:line="240" w:lineRule="auto"/>
              <w:textAlignment w:val="baseline"/>
              <w:rPr>
                <w:rFonts w:ascii="Times New Roman" w:eastAsia="Times New Roman" w:hAnsi="Times New Roman" w:cs="Times New Roman"/>
                <w:kern w:val="0"/>
                <w:sz w:val="18"/>
                <w:szCs w:val="18"/>
                <w:lang w:val="it-IT" w:eastAsia="hr-HR"/>
                <w14:ligatures w14:val="none"/>
              </w:rPr>
            </w:pPr>
            <w:r>
              <w:rPr>
                <w:rFonts w:ascii="Times New Roman" w:eastAsia="Times New Roman" w:hAnsi="Times New Roman" w:cs="Times New Roman"/>
                <w:kern w:val="0"/>
                <w:sz w:val="18"/>
                <w:szCs w:val="18"/>
                <w:lang w:eastAsia="hr-HR"/>
                <w14:ligatures w14:val="none"/>
              </w:rPr>
              <w:t>3. Površina destinacije</w:t>
            </w:r>
            <w:r>
              <w:rPr>
                <w:rFonts w:ascii="Times New Roman" w:eastAsia="Times New Roman" w:hAnsi="Times New Roman" w:cs="Times New Roman"/>
                <w:kern w:val="0"/>
                <w:sz w:val="18"/>
                <w:szCs w:val="18"/>
                <w:lang w:val="it-IT" w:eastAsia="hr-HR"/>
                <w14:ligatures w14:val="none"/>
              </w:rPr>
              <w:t xml:space="preserve"> - 113,3 km2 - 11.330,00 ha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Bioportal</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Bioportal</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Podatci JLS-a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3.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3. Na razini godine</w:t>
            </w:r>
          </w:p>
        </w:tc>
      </w:tr>
      <w:tr w:rsidR="00702E3C">
        <w:tc>
          <w:tcPr>
            <w:tcW w:w="6261" w:type="dxa"/>
            <w:gridSpan w:val="2"/>
            <w:tcBorders>
              <w:top w:val="single" w:sz="6" w:space="0" w:color="auto"/>
              <w:left w:val="single" w:sz="6" w:space="0" w:color="auto"/>
              <w:bottom w:val="single" w:sz="6" w:space="0" w:color="auto"/>
              <w:right w:val="single" w:sz="6" w:space="0" w:color="auto"/>
            </w:tcBorders>
            <w:shd w:val="clear" w:color="auto" w:fill="54A021" w:themeFill="accent2"/>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se izračunava kao udio površina zaštićenih područja u destinaciji u odnosu na ukupnu površinu destinacije i prema kategorijama zaštite temeljem zakona kojim se uređuje zaštita prirode</w:t>
            </w:r>
          </w:p>
          <w:p w:rsidR="00702E3C" w:rsidRDefault="004B1C83">
            <w:pPr>
              <w:spacing w:after="0" w:line="240" w:lineRule="auto"/>
              <w:jc w:val="center"/>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 xml:space="preserve">Zaštićena područja: </w:t>
            </w:r>
          </w:p>
          <w:p w:rsidR="00702E3C" w:rsidRDefault="004B1C83">
            <w:pPr>
              <w:numPr>
                <w:ilvl w:val="0"/>
                <w:numId w:val="27"/>
              </w:numPr>
              <w:spacing w:after="0" w:line="240" w:lineRule="auto"/>
              <w:jc w:val="center"/>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Park prirode Telašćica</w:t>
            </w:r>
          </w:p>
          <w:p w:rsidR="00702E3C" w:rsidRDefault="004B1C83">
            <w:pPr>
              <w:numPr>
                <w:ilvl w:val="0"/>
                <w:numId w:val="27"/>
              </w:numPr>
              <w:spacing w:after="0" w:line="240" w:lineRule="auto"/>
              <w:jc w:val="center"/>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Značajni krajobraz Sjeverozapadni dio Dugog otoka</w:t>
            </w:r>
          </w:p>
          <w:p w:rsidR="00702E3C" w:rsidRDefault="004B1C83">
            <w:pPr>
              <w:numPr>
                <w:ilvl w:val="0"/>
                <w:numId w:val="27"/>
              </w:numPr>
              <w:spacing w:after="0" w:line="240" w:lineRule="auto"/>
              <w:jc w:val="center"/>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Posebni botanički rezervat maslinik Saljsko polje</w:t>
            </w:r>
          </w:p>
          <w:p w:rsidR="00702E3C" w:rsidRDefault="004B1C83">
            <w:pPr>
              <w:numPr>
                <w:ilvl w:val="0"/>
                <w:numId w:val="27"/>
              </w:numPr>
              <w:spacing w:after="0" w:line="240" w:lineRule="auto"/>
              <w:jc w:val="center"/>
              <w:rPr>
                <w:rFonts w:ascii="Times New Roman" w:eastAsia="Times New Roman" w:hAnsi="Times New Roman" w:cs="Times New Roman"/>
                <w:kern w:val="0"/>
                <w:sz w:val="18"/>
                <w:szCs w:val="18"/>
                <w:lang w:val="en-US" w:eastAsia="hr-HR"/>
                <w14:ligatures w14:val="none"/>
              </w:rPr>
            </w:pPr>
            <w:r>
              <w:rPr>
                <w:rFonts w:ascii="Times New Roman" w:eastAsia="Times New Roman" w:hAnsi="Times New Roman" w:cs="Times New Roman"/>
                <w:kern w:val="0"/>
                <w:sz w:val="18"/>
                <w:szCs w:val="18"/>
                <w:lang w:val="en-US" w:eastAsia="hr-HR"/>
                <w14:ligatures w14:val="none"/>
              </w:rPr>
              <w:t>Područja ekološke mreže</w:t>
            </w:r>
          </w:p>
        </w:tc>
      </w:tr>
      <w:tr w:rsidR="00702E3C">
        <w:tc>
          <w:tcPr>
            <w:tcW w:w="6261" w:type="dxa"/>
            <w:gridSpan w:val="2"/>
            <w:tcBorders>
              <w:top w:val="single" w:sz="6" w:space="0" w:color="auto"/>
              <w:left w:val="single" w:sz="6" w:space="0" w:color="auto"/>
              <w:bottom w:val="single" w:sz="6" w:space="0" w:color="auto"/>
              <w:right w:val="single" w:sz="6" w:space="0" w:color="auto"/>
            </w:tcBorders>
            <w:shd w:val="clear" w:color="auto" w:fill="FAE0D0" w:themeFill="accent4"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četiri godine</w:t>
            </w:r>
          </w:p>
        </w:tc>
      </w:tr>
      <w:tr w:rsidR="00702E3C">
        <w:tc>
          <w:tcPr>
            <w:tcW w:w="6261"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409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409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2033</w:t>
            </w:r>
          </w:p>
        </w:tc>
      </w:tr>
      <w:tr w:rsidR="00702E3C">
        <w:tc>
          <w:tcPr>
            <w:tcW w:w="6261"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lastRenderedPageBreak/>
              <w:t>30,44 %</w:t>
            </w:r>
          </w:p>
        </w:tc>
        <w:tc>
          <w:tcPr>
            <w:tcW w:w="819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85" w:name="_Toc217040714"/>
      <w:r>
        <w:rPr>
          <w:rFonts w:ascii="Times New Roman" w:eastAsia="Times New Roman" w:hAnsi="Times New Roman" w:cs="Times New Roman"/>
          <w:lang w:eastAsia="hr-HR"/>
        </w:rPr>
        <w:t>Održivo upravljanje energijom</w:t>
      </w:r>
      <w:bookmarkEnd w:id="85"/>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1822"/>
        <w:gridCol w:w="2132"/>
        <w:gridCol w:w="5705"/>
        <w:gridCol w:w="4508"/>
      </w:tblGrid>
      <w:tr w:rsidR="00702E3C">
        <w:tc>
          <w:tcPr>
            <w:tcW w:w="1672" w:type="dxa"/>
            <w:tcBorders>
              <w:top w:val="single" w:sz="6" w:space="0" w:color="auto"/>
              <w:left w:val="single" w:sz="6" w:space="0" w:color="auto"/>
              <w:bottom w:val="single" w:sz="6" w:space="0" w:color="auto"/>
              <w:right w:val="single" w:sz="6" w:space="0" w:color="auto"/>
            </w:tcBorders>
            <w:shd w:val="clear" w:color="auto" w:fill="428BDD"/>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495" w:type="dxa"/>
            <w:gridSpan w:val="3"/>
            <w:tcBorders>
              <w:top w:val="single" w:sz="6" w:space="0" w:color="auto"/>
              <w:left w:val="single" w:sz="6" w:space="0" w:color="auto"/>
              <w:bottom w:val="single" w:sz="6" w:space="0" w:color="auto"/>
              <w:right w:val="single" w:sz="6" w:space="0" w:color="auto"/>
            </w:tcBorders>
            <w:shd w:val="clear" w:color="auto" w:fill="D6A0FF"/>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Omjer potrošnje električne energije po turističkom noćenju u odnosu na potrošnju električne energije stalnog stanovništva destinacije (UEN-1)</w:t>
            </w:r>
          </w:p>
        </w:tc>
      </w:tr>
      <w:tr w:rsidR="00702E3C">
        <w:tc>
          <w:tcPr>
            <w:tcW w:w="1672"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sa međunarodnim sustavima</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ETIS: Potrošnja energije po turističkom noćenju u usporedbi s potrošnjom energije općeg stanovništva po osobi po noći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održivo upravljanje energijom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7. Pristupačna energija iz čistih izvora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je omjer ukupne količine električne energije po turističkom noćenju u odnosu na potrošnju električne energije stalnog stanovništva destinacije, a temelji se na sezonalnosti potrošnje.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Ovaj pokazatelj daje uvid u opterećenje energetske infrastrukture i potrebe implementacije održivih oblika energije. S obzirom na intenzivnu potrebu za energijom tijekom visoke sezone, posebice u Jadranskoj Hrvatskoj, važno je razmotriti stvarno opterećenje.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w:t>
            </w:r>
            <w:r>
              <w:rPr>
                <w:rFonts w:ascii="Times New Roman" w:eastAsia="Times New Roman" w:hAnsi="Times New Roman" w:cs="Times New Roman"/>
                <w:kern w:val="0"/>
                <w:sz w:val="18"/>
                <w:szCs w:val="18"/>
                <w:lang w:eastAsia="hr-HR"/>
                <w14:ligatures w14:val="none"/>
              </w:rPr>
              <w:br/>
              <w:t>(opcionalno)</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N/P</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Ukupna finalna potrošnja el. energije u destinaciji u kalendarskom mjesecu s najmanje ostvarenim brojem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Ukupna finalna potrošnja el. energije u destinaciji u kalendarskom mjesecu s najvećim ostvarenim brojem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Broj ostvarenih turističkih noćenja u destinaciji u kalendarskom mjesecu s najmanje ostvarenih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4. Broj ostvarenih turističkih noćenja u destinaciji u kalendarskom mjesecu s najviše ostvarenih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 Broj stanovnika u destinaciji koji imaju pristup elektro-energetskoj mreži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KWh</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4. – noćenje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 stanovnik</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Izvor/potencijalni izvor</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HEP-ODS</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4. – eVisitor</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5. DZS, Statističko izvješće – Stanovništvo RH (godišnje procjene)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i podatkovni jaz</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Podatak je dostupan (uz poseban zahtjev)</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 5.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1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5. Svake četiri godine</w:t>
            </w:r>
          </w:p>
        </w:tc>
      </w:tr>
      <w:tr w:rsidR="00702E3C">
        <w:tc>
          <w:tcPr>
            <w:tcW w:w="3820" w:type="dxa"/>
            <w:gridSpan w:val="2"/>
            <w:tcBorders>
              <w:top w:val="single" w:sz="6" w:space="0" w:color="auto"/>
              <w:left w:val="single" w:sz="6" w:space="0" w:color="auto"/>
              <w:bottom w:val="single" w:sz="6" w:space="0" w:color="auto"/>
              <w:right w:val="single" w:sz="6" w:space="0" w:color="auto"/>
            </w:tcBorders>
            <w:shd w:val="clear" w:color="auto" w:fill="CEDADF" w:themeFill="tex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se izračunava kao omjer finalne potrošnje el. energije po noćenju turista (kWh) u smještajnim objektima u odnosu na potrošnju el. energije po stanovniku destinacije (kWh).</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F</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ukupna finalna potrošnja el. energije u kućanstvima i smještajnim objektima u destinaciji u kalendarskom mjesecu s najmanje ostvarenim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F</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ukupna finalna potrošnja el. energije kućanstvima i smještajnim objektima u destinaciji kalendarskom mjesecu s najviše ostvarenih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ostvarenih turističkih noćenja u smještajnim objektima u kalendarskom mjesecu s najmanjim ostvarenim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ostvarenih turističkih noćenja u smještajnim objektima u kalendarskom mjesecu s najvećim ostvarenim brojem noćenja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S – </w:t>
            </w:r>
            <w:r>
              <w:rPr>
                <w:rFonts w:ascii="Times New Roman" w:eastAsia="Times New Roman" w:hAnsi="Times New Roman" w:cs="Times New Roman"/>
                <w:kern w:val="0"/>
                <w:sz w:val="18"/>
                <w:szCs w:val="18"/>
                <w:lang w:eastAsia="hr-HR"/>
                <w14:ligatures w14:val="none"/>
              </w:rPr>
              <w:t>broj stanovnika u destinaciji</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N</w:t>
            </w:r>
            <w:r>
              <w:rPr>
                <w:rFonts w:ascii="Times New Roman" w:eastAsia="Times New Roman" w:hAnsi="Times New Roman" w:cs="Times New Roman"/>
                <w:i/>
                <w:iCs/>
                <w:kern w:val="0"/>
                <w:sz w:val="18"/>
                <w:szCs w:val="18"/>
                <w:vertAlign w:val="subscript"/>
                <w:lang w:eastAsia="hr-HR"/>
                <w14:ligatures w14:val="none"/>
              </w:rPr>
              <w:t>1</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dana u mjesecu s najmanjim brojem turističkih noćenja (28/29/30/31)</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N</w:t>
            </w:r>
            <w:r>
              <w:rPr>
                <w:rFonts w:ascii="Times New Roman" w:eastAsia="Times New Roman" w:hAnsi="Times New Roman" w:cs="Times New Roman"/>
                <w:i/>
                <w:iCs/>
                <w:kern w:val="0"/>
                <w:sz w:val="18"/>
                <w:szCs w:val="18"/>
                <w:vertAlign w:val="subscript"/>
                <w:lang w:eastAsia="hr-HR"/>
                <w14:ligatures w14:val="none"/>
              </w:rPr>
              <w:t>2</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dana u mjesecu s najvećim brojem turističkih noćenja (28/29/30/31)</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m:oMathPara>
              <m:oMath>
                <m:r>
                  <w:rPr>
                    <w:rFonts w:ascii="Cambria Math" w:hAnsi="Cambria Math" w:cs="Times New Roman"/>
                  </w:rPr>
                  <m:t>potrošnja el.energije po noćenju turista =</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2</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 xml:space="preserve">2   </m:t>
                        </m:r>
                      </m:sub>
                    </m:sSub>
                  </m:num>
                  <m:den>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 xml:space="preserve">2 </m:t>
                        </m:r>
                      </m:sub>
                    </m:sSub>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m:t>
                        </m:r>
                      </m:sub>
                    </m:sSub>
                    <m:r>
                      <m:rPr>
                        <m:sty m:val="p"/>
                      </m:rPr>
                      <w:rPr>
                        <w:rFonts w:ascii="Cambria Math" w:hAnsi="Cambria Math" w:cs="Times New Roman"/>
                      </w:rPr>
                      <m:t xml:space="preserve"> - </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m:t>
                        </m:r>
                      </m:sub>
                    </m:sSub>
                  </m:den>
                </m:f>
              </m:oMath>
            </m:oMathPara>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sz w:val="24"/>
                <w:szCs w:val="24"/>
              </w:rPr>
            </w:pPr>
            <m:oMath>
              <m:r>
                <m:rPr>
                  <m:sty m:val="p"/>
                </m:rPr>
                <w:rPr>
                  <w:rFonts w:ascii="Cambria Math" w:hAnsi="Cambria Math" w:cs="Times New Roman"/>
                </w:rPr>
                <m:t xml:space="preserve">potrošnja el.energije po noćenju stanovnika = </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S</m:t>
                  </m:r>
                </m:den>
              </m:f>
            </m:oMath>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 xml:space="preserve">2   </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 xml:space="preserve">2 </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den>
                  </m:f>
                </m:e>
              </m:d>
            </m:oMath>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omjer potrošnje el. energije po noćenju turista i stanovnika: </w:t>
            </w:r>
          </w:p>
          <w:p w:rsidR="00702E3C" w:rsidRDefault="004B1C83">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hAnsi="Times New Roman" w:cs="Times New Roman"/>
                <w:i/>
                <w:sz w:val="24"/>
                <w:szCs w:val="24"/>
              </w:rPr>
              <w:br/>
            </w:r>
            <m:oMathPara>
              <m:oMath>
                <m:r>
                  <w:rPr>
                    <w:rFonts w:ascii="Cambria Math" w:hAnsi="Cambria Math" w:cs="Times New Roman"/>
                    <w:sz w:val="16"/>
                    <w:szCs w:val="16"/>
                  </w:rPr>
                  <m:t>potrošnja el.energije po noćenju turista i stanovnika  =</m:t>
                </m:r>
                <m:f>
                  <m:fPr>
                    <m:ctrlPr>
                      <w:rPr>
                        <w:rFonts w:ascii="Cambria Math" w:hAnsi="Cambria Math" w:cs="Times New Roman"/>
                        <w:sz w:val="16"/>
                        <w:szCs w:val="16"/>
                      </w:rPr>
                    </m:ctrlPr>
                  </m:fPr>
                  <m:num>
                    <m:r>
                      <w:rPr>
                        <w:rFonts w:ascii="Cambria Math" w:hAnsi="Cambria Math" w:cs="Times New Roman"/>
                        <w:sz w:val="16"/>
                        <w:szCs w:val="16"/>
                      </w:rPr>
                      <m:t xml:space="preserve">potrošnja el.energije po noćenju turista </m:t>
                    </m:r>
                  </m:num>
                  <m:den>
                    <m:r>
                      <m:rPr>
                        <m:sty m:val="p"/>
                      </m:rPr>
                      <w:rPr>
                        <w:rFonts w:ascii="Cambria Math" w:hAnsi="Cambria Math" w:cs="Times New Roman"/>
                        <w:sz w:val="16"/>
                        <w:szCs w:val="16"/>
                      </w:rPr>
                      <m:t xml:space="preserve">potrošnja el.energije po noćenju stanovnika </m:t>
                    </m:r>
                  </m:den>
                </m:f>
                <m:r>
                  <w:rPr>
                    <w:rFonts w:ascii="Cambria Math" w:hAnsi="Cambria Math" w:cs="Times New Roman"/>
                    <w:sz w:val="16"/>
                    <w:szCs w:val="16"/>
                  </w:rPr>
                  <m:t xml:space="preserve"> × 100</m:t>
                </m:r>
              </m:oMath>
            </m:oMathPara>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tc>
      </w:tr>
      <w:tr w:rsidR="00702E3C">
        <w:tc>
          <w:tcPr>
            <w:tcW w:w="3820" w:type="dxa"/>
            <w:gridSpan w:val="2"/>
            <w:tcBorders>
              <w:top w:val="single" w:sz="6" w:space="0" w:color="auto"/>
              <w:left w:val="single" w:sz="6" w:space="0" w:color="auto"/>
              <w:bottom w:val="single" w:sz="6" w:space="0" w:color="auto"/>
              <w:right w:val="single" w:sz="6" w:space="0" w:color="auto"/>
            </w:tcBorders>
            <w:shd w:val="clear" w:color="auto" w:fill="9EB5BF" w:themeFill="text2" w:themeFillTint="66"/>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Učestalost mjerenja</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četiri godine</w:t>
            </w:r>
          </w:p>
        </w:tc>
      </w:tr>
      <w:tr w:rsidR="00702E3C">
        <w:tc>
          <w:tcPr>
            <w:tcW w:w="3820"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57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457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2033</w:t>
            </w:r>
          </w:p>
        </w:tc>
      </w:tr>
      <w:tr w:rsidR="00702E3C">
        <w:tc>
          <w:tcPr>
            <w:tcW w:w="382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N/A</w:t>
            </w:r>
          </w:p>
        </w:tc>
        <w:tc>
          <w:tcPr>
            <w:tcW w:w="103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702E3C">
      <w:pPr>
        <w:shd w:val="clear" w:color="auto" w:fill="FFFFFF"/>
        <w:spacing w:after="48"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702E3C">
      <w:pPr>
        <w:shd w:val="clear" w:color="auto" w:fill="FFFFFF"/>
        <w:spacing w:after="48"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86" w:name="_Toc217040715"/>
      <w:r>
        <w:rPr>
          <w:rFonts w:ascii="Times New Roman" w:eastAsia="Times New Roman" w:hAnsi="Times New Roman" w:cs="Times New Roman"/>
          <w:lang w:eastAsia="hr-HR"/>
        </w:rPr>
        <w:t>Ublažavanje i prilagodba klimatskim promjenama</w:t>
      </w:r>
      <w:bookmarkEnd w:id="86"/>
    </w:p>
    <w:p w:rsidR="00702E3C" w:rsidRDefault="00702E3C">
      <w:pPr>
        <w:shd w:val="clear" w:color="auto" w:fill="FFFFFF"/>
        <w:spacing w:after="0" w:line="240" w:lineRule="auto"/>
        <w:textAlignment w:val="baseline"/>
        <w:rPr>
          <w:rFonts w:ascii="Times New Roman" w:eastAsia="Times New Roman" w:hAnsi="Times New Roman" w:cs="Times New Roman"/>
          <w:b/>
          <w:bCs/>
          <w:kern w:val="0"/>
          <w:sz w:val="20"/>
          <w:szCs w:val="20"/>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3884" w:type="dxa"/>
        <w:jc w:val="center"/>
        <w:shd w:val="clear" w:color="auto" w:fill="FFFFFF"/>
        <w:tblCellMar>
          <w:left w:w="0" w:type="dxa"/>
          <w:right w:w="0" w:type="dxa"/>
        </w:tblCellMar>
        <w:tblLook w:val="04A0" w:firstRow="1" w:lastRow="0" w:firstColumn="1" w:lastColumn="0" w:noHBand="0" w:noVBand="1"/>
      </w:tblPr>
      <w:tblGrid>
        <w:gridCol w:w="1693"/>
        <w:gridCol w:w="3402"/>
        <w:gridCol w:w="2929"/>
        <w:gridCol w:w="2930"/>
        <w:gridCol w:w="2930"/>
      </w:tblGrid>
      <w:tr w:rsidR="00702E3C">
        <w:trPr>
          <w:jc w:val="center"/>
        </w:trPr>
        <w:tc>
          <w:tcPr>
            <w:tcW w:w="1693" w:type="dxa"/>
            <w:tcBorders>
              <w:top w:val="single" w:sz="6" w:space="0" w:color="auto"/>
              <w:left w:val="single" w:sz="6" w:space="0" w:color="auto"/>
              <w:bottom w:val="single" w:sz="6" w:space="0" w:color="auto"/>
              <w:right w:val="single" w:sz="6" w:space="0" w:color="auto"/>
            </w:tcBorders>
            <w:shd w:val="clear" w:color="auto" w:fill="00B0F0"/>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191" w:type="dxa"/>
            <w:gridSpan w:val="4"/>
            <w:tcBorders>
              <w:top w:val="single" w:sz="6" w:space="0" w:color="auto"/>
              <w:left w:val="single" w:sz="6" w:space="0" w:color="auto"/>
              <w:bottom w:val="single" w:sz="6" w:space="0" w:color="auto"/>
              <w:right w:val="single" w:sz="6" w:space="0" w:color="auto"/>
            </w:tcBorders>
            <w:shd w:val="clear" w:color="auto" w:fill="D6A0FF"/>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Uspostavljen sustav za prilagodbu klimatskim promjenama i procjenu rizika (UPK-1)</w:t>
            </w:r>
          </w:p>
        </w:tc>
      </w:tr>
      <w:tr w:rsidR="00702E3C">
        <w:trPr>
          <w:jc w:val="center"/>
        </w:trPr>
        <w:tc>
          <w:tcPr>
            <w:tcW w:w="1693" w:type="dxa"/>
            <w:vMerge w:val="restart"/>
            <w:tcBorders>
              <w:top w:val="single" w:sz="6" w:space="0" w:color="auto"/>
              <w:left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međunarodnim sustavima</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GSTC – Postojeći sustav za prilagodbu klimatskim promjenama i procjenu rizika</w:t>
            </w:r>
          </w:p>
        </w:tc>
      </w:tr>
      <w:tr w:rsidR="00702E3C">
        <w:trPr>
          <w:jc w:val="center"/>
        </w:trPr>
        <w:tc>
          <w:tcPr>
            <w:tcW w:w="1693" w:type="dxa"/>
            <w:vMerge/>
            <w:tcBorders>
              <w:left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ublažavanje i prilagodba klimatskim promjenama</w:t>
            </w:r>
          </w:p>
        </w:tc>
      </w:tr>
      <w:tr w:rsidR="00702E3C">
        <w:trPr>
          <w:jc w:val="center"/>
        </w:trPr>
        <w:tc>
          <w:tcPr>
            <w:tcW w:w="1693" w:type="dxa"/>
            <w:vMerge/>
            <w:tcBorders>
              <w:left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3 – Zdravlje i dobrobit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 Održivi gradovi i zajednice</w:t>
            </w:r>
          </w:p>
        </w:tc>
      </w:tr>
      <w:tr w:rsidR="00702E3C">
        <w:trPr>
          <w:jc w:val="center"/>
        </w:trPr>
        <w:tc>
          <w:tcPr>
            <w:tcW w:w="1693" w:type="dxa"/>
            <w:vMerge/>
            <w:tcBorders>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Smanjenje negativnog međuodnosa turizma i klime</w:t>
            </w:r>
          </w:p>
        </w:tc>
      </w:tr>
      <w:tr w:rsidR="00702E3C">
        <w:trPr>
          <w:jc w:val="center"/>
        </w:trPr>
        <w:tc>
          <w:tcPr>
            <w:tcW w:w="169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w:t>
            </w: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utvrđuje postoji li u destinaciji sustav za prilagodbu klimatskim promjenama i procjenu rizika</w:t>
            </w:r>
          </w:p>
        </w:tc>
      </w:tr>
      <w:tr w:rsidR="00702E3C">
        <w:trPr>
          <w:jc w:val="center"/>
        </w:trPr>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7. Pariškog sporazuma postavlja globalni cilj »poboljšanja sposobnosti prilagodbe, jačanja otpornosti i smanjenja ranjivosti na klimatske promjene«. Provedba nacionalnih i lokalnih planova prilagodbe, izgradnja kapaciteta i tehnologije te povećani financijski tokovi navedeni su kao ključni alati za provedbu aktivnosti prilagodbe. Sektor turizma je jedan od pet najranjivijih sektora na klimatske promjene. Stoga je uspostava sustava za procjenu izloženosti, otpornosti i rizika te provedbu mjera za prilagodbu klimatskim promjenama na svim razinama ključna za održivost turizma kao ključne gospodarske grane u Republici Hrvatskoj. Strategija prilagodbe klimatskim promjenama u Republici Hrvatskoj za razdoblje do 2040. godine s pogledom na 2070. godinu (NN 46/20) i Zakon o klimatskim promjenama i zaštiti ozonskog sloja (NN 127/19) reguliraju pitanje prilagodbe klimatskim promjenama u Republici Hrvatskoj.</w:t>
            </w:r>
          </w:p>
        </w:tc>
      </w:tr>
      <w:tr w:rsidR="00702E3C">
        <w:trPr>
          <w:jc w:val="center"/>
        </w:trPr>
        <w:tc>
          <w:tcPr>
            <w:tcW w:w="1693"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Podatci</w:t>
            </w: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Doneseni i provedeni strateški, planski ili programski dokumenti koji integriraju koncept prilagodbe klimatskim promjenama i procjenu rizika na razini destinacije</w:t>
            </w:r>
          </w:p>
        </w:tc>
      </w:tr>
      <w:tr w:rsidR="00702E3C">
        <w:trPr>
          <w:jc w:val="center"/>
        </w:trPr>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N/P</w:t>
            </w:r>
          </w:p>
        </w:tc>
      </w:tr>
      <w:tr w:rsidR="00702E3C">
        <w:trPr>
          <w:jc w:val="center"/>
        </w:trPr>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Upravni odjeli JLS</w:t>
            </w:r>
          </w:p>
        </w:tc>
      </w:tr>
      <w:tr w:rsidR="00702E3C">
        <w:trPr>
          <w:jc w:val="center"/>
        </w:trPr>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Podatak je dostupan</w:t>
            </w:r>
          </w:p>
        </w:tc>
      </w:tr>
      <w:tr w:rsidR="00702E3C">
        <w:trPr>
          <w:jc w:val="center"/>
        </w:trPr>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Jednom godišnje</w:t>
            </w:r>
          </w:p>
        </w:tc>
      </w:tr>
      <w:tr w:rsidR="00702E3C">
        <w:trPr>
          <w:jc w:val="center"/>
        </w:trPr>
        <w:tc>
          <w:tcPr>
            <w:tcW w:w="5095" w:type="dxa"/>
            <w:gridSpan w:val="2"/>
            <w:tcBorders>
              <w:top w:val="single" w:sz="6" w:space="0" w:color="auto"/>
              <w:left w:val="single" w:sz="6" w:space="0" w:color="auto"/>
              <w:bottom w:val="single" w:sz="6" w:space="0" w:color="auto"/>
              <w:right w:val="single" w:sz="6" w:space="0" w:color="auto"/>
            </w:tcBorders>
            <w:shd w:val="clear" w:color="auto" w:fill="CEDADF" w:themeFill="text2"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je informacija o tome je li destinacija donijela dokumente (strategiju i/ili plan i/ili program) te koji je napredak/udio mjera u provedbi i/ili implementiranih mjera za prilagodbu i ublažavanje klimatskih promjena i procjenu rizika – DA/NE/ udio mjera u provedbi i/ili implementiranih</w:t>
            </w:r>
          </w:p>
        </w:tc>
      </w:tr>
      <w:tr w:rsidR="00702E3C">
        <w:trPr>
          <w:jc w:val="center"/>
        </w:trPr>
        <w:tc>
          <w:tcPr>
            <w:tcW w:w="5095" w:type="dxa"/>
            <w:gridSpan w:val="2"/>
            <w:tcBorders>
              <w:top w:val="single" w:sz="6" w:space="0" w:color="auto"/>
              <w:left w:val="single" w:sz="6" w:space="0" w:color="auto"/>
              <w:bottom w:val="single" w:sz="6" w:space="0" w:color="auto"/>
              <w:right w:val="single" w:sz="6" w:space="0" w:color="auto"/>
            </w:tcBorders>
            <w:shd w:val="clear" w:color="auto" w:fill="9EB5BF" w:themeFill="text2" w:themeFillTint="66"/>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7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dvije godine</w:t>
            </w:r>
          </w:p>
        </w:tc>
      </w:tr>
      <w:tr w:rsidR="00702E3C">
        <w:trPr>
          <w:jc w:val="center"/>
        </w:trPr>
        <w:tc>
          <w:tcPr>
            <w:tcW w:w="5095" w:type="dxa"/>
            <w:gridSpan w:val="2"/>
            <w:tcBorders>
              <w:top w:val="single" w:sz="6" w:space="0" w:color="auto"/>
              <w:left w:val="single" w:sz="6" w:space="0" w:color="auto"/>
              <w:bottom w:val="single" w:sz="6" w:space="0" w:color="auto"/>
              <w:right w:val="single" w:sz="6" w:space="0" w:color="auto"/>
            </w:tcBorders>
            <w:shd w:val="clear" w:color="auto" w:fill="9B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29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293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293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2031</w:t>
            </w:r>
          </w:p>
        </w:tc>
      </w:tr>
      <w:tr w:rsidR="00702E3C">
        <w:trPr>
          <w:jc w:val="center"/>
        </w:trPr>
        <w:tc>
          <w:tcPr>
            <w:tcW w:w="509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DA</w:t>
            </w:r>
          </w:p>
        </w:tc>
        <w:tc>
          <w:tcPr>
            <w:tcW w:w="29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93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93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pStyle w:val="Naslov1"/>
        <w:numPr>
          <w:ilvl w:val="0"/>
          <w:numId w:val="23"/>
        </w:numPr>
        <w:rPr>
          <w:rFonts w:ascii="Times New Roman" w:eastAsia="Times New Roman" w:hAnsi="Times New Roman" w:cs="Times New Roman"/>
          <w:b/>
          <w:bCs/>
          <w:lang w:eastAsia="hr-HR"/>
        </w:rPr>
      </w:pPr>
      <w:bookmarkStart w:id="87" w:name="_Toc217040716"/>
      <w:r>
        <w:rPr>
          <w:rFonts w:ascii="Times New Roman" w:eastAsia="Times New Roman" w:hAnsi="Times New Roman" w:cs="Times New Roman"/>
          <w:b/>
          <w:bCs/>
          <w:lang w:eastAsia="hr-HR"/>
        </w:rPr>
        <w:lastRenderedPageBreak/>
        <w:t>OBVEZNI POKAZATELJI ODRŽIVOSTI KOJI MJERE UTJECAJ TURIZMA NA EKONOMSKE ASPEKTE ODRŽIVOSTI</w:t>
      </w:r>
      <w:bookmarkEnd w:id="87"/>
    </w:p>
    <w:p w:rsidR="00702E3C" w:rsidRDefault="004B1C83">
      <w:pPr>
        <w:pStyle w:val="Naslov2"/>
        <w:numPr>
          <w:ilvl w:val="1"/>
          <w:numId w:val="23"/>
        </w:numPr>
        <w:rPr>
          <w:rFonts w:ascii="Times New Roman" w:eastAsia="Times New Roman" w:hAnsi="Times New Roman" w:cs="Times New Roman"/>
          <w:lang w:eastAsia="hr-HR"/>
        </w:rPr>
      </w:pPr>
      <w:bookmarkStart w:id="88" w:name="_Toc217040717"/>
      <w:r>
        <w:rPr>
          <w:rFonts w:ascii="Times New Roman" w:eastAsia="Times New Roman" w:hAnsi="Times New Roman" w:cs="Times New Roman"/>
          <w:lang w:eastAsia="hr-HR"/>
        </w:rPr>
        <w:t>Turistički promet</w:t>
      </w:r>
      <w:bookmarkEnd w:id="88"/>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0"/>
          <w:szCs w:val="20"/>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3759" w:type="dxa"/>
        <w:jc w:val="center"/>
        <w:shd w:val="clear" w:color="auto" w:fill="FFFFFF"/>
        <w:tblCellMar>
          <w:left w:w="0" w:type="dxa"/>
          <w:right w:w="0" w:type="dxa"/>
        </w:tblCellMar>
        <w:tblLook w:val="04A0" w:firstRow="1" w:lastRow="0" w:firstColumn="1" w:lastColumn="0" w:noHBand="0" w:noVBand="1"/>
      </w:tblPr>
      <w:tblGrid>
        <w:gridCol w:w="1985"/>
        <w:gridCol w:w="2835"/>
        <w:gridCol w:w="1787"/>
        <w:gridCol w:w="1788"/>
        <w:gridCol w:w="1788"/>
        <w:gridCol w:w="1788"/>
        <w:gridCol w:w="1788"/>
      </w:tblGrid>
      <w:tr w:rsidR="00702E3C">
        <w:trPr>
          <w:jc w:val="center"/>
        </w:trPr>
        <w:tc>
          <w:tcPr>
            <w:tcW w:w="1985"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1774" w:type="dxa"/>
            <w:gridSpan w:val="6"/>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Ukupan broj dolazaka turista u mjesecu s najvećim opterećenjem (TP-1)</w:t>
            </w:r>
          </w:p>
        </w:tc>
      </w:tr>
      <w:tr w:rsidR="00702E3C">
        <w:trPr>
          <w:jc w:val="center"/>
        </w:trPr>
        <w:tc>
          <w:tcPr>
            <w:tcW w:w="1985"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međunarodnim sustavima</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UN TOURISM – MST (prilagodba) – Postotak godišnjeg broja dolaznih posjetitelja u mjesecima ili tromjesečju s najvećim opterećenjem</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turistički promet</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12 – Odgovorna potrošnja i proizvodnja</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Razvoj vremenski i prostorno ravnomjernije raspoređenog turističkog prometa/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Repozicioniranje Hrvatske kao cjelogodišnje autentične destinacije održivog turizma</w:t>
            </w:r>
          </w:p>
        </w:tc>
      </w:tr>
      <w:tr w:rsidR="00702E3C">
        <w:trPr>
          <w:jc w:val="center"/>
        </w:trPr>
        <w:tc>
          <w:tcPr>
            <w:tcW w:w="198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definira ukupan broj dolazaka turista u destinaciji u mjesecu koji se smatra glavnom turističkom sezonom temeljem broja ostvarenih noćenja što ujedno podrazumijeva i najveće opterećenje kako u kontekstu infrastrukture tako i u društvenom kontekstu.</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Priljev posjetitelja u turističku destinaciju predstavlja obvezni uzrok potrebe za upravljanjem održivošću destinacije. S obzirom na činjenicu da turizam predstavlja uglavnom sezonalnu aktivnost, ovim pokazateljem svakako valja uzeti u obzir razlike u priljevu posjetitelja unutar i van turističke sezone, pri čemu je priljev posjetitelja u periodu glavne, odnosno visoke turističke sezone najrelevantniji podatak za upravljanje održivošću destinacije.</w:t>
            </w:r>
          </w:p>
        </w:tc>
      </w:tr>
      <w:tr w:rsidR="00702E3C">
        <w:trPr>
          <w:jc w:val="center"/>
        </w:trPr>
        <w:tc>
          <w:tcPr>
            <w:tcW w:w="1985"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Podatci</w:t>
            </w: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Ukupan broj dolazaka turista kao broj osoba koje su se u destinaciji prijavile i ostvarile noćenje u objektu koji pruža uslugu smještaja.</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Dolazak, odnosno prijava posjetitelja u smještajnom objektu</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eVisitor</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Podatak je dostupan</w:t>
            </w:r>
          </w:p>
        </w:tc>
      </w:tr>
      <w:tr w:rsidR="00702E3C">
        <w:trPr>
          <w:jc w:val="center"/>
        </w:trPr>
        <w:tc>
          <w:tcPr>
            <w:tcW w:w="1985"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Podaci su kontinuirano dostupni na godišnjoj razini.</w:t>
            </w:r>
          </w:p>
        </w:tc>
      </w:tr>
      <w:tr w:rsidR="00702E3C">
        <w:trPr>
          <w:jc w:val="center"/>
        </w:trPr>
        <w:tc>
          <w:tcPr>
            <w:tcW w:w="4820"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je informacija o ukupnom broju dolazaka turista u destinaciji u mjesecu s najvećim brojem ostvarenih dolazaka, te se broj direktno preuzima iz sustava eVisitor i služi kao pokazatelj.</w:t>
            </w:r>
          </w:p>
        </w:tc>
      </w:tr>
      <w:tr w:rsidR="00702E3C">
        <w:trPr>
          <w:jc w:val="center"/>
        </w:trPr>
        <w:tc>
          <w:tcPr>
            <w:tcW w:w="4820" w:type="dxa"/>
            <w:gridSpan w:val="2"/>
            <w:tcBorders>
              <w:top w:val="single" w:sz="6" w:space="0" w:color="auto"/>
              <w:left w:val="single" w:sz="6" w:space="0" w:color="auto"/>
              <w:bottom w:val="single" w:sz="6" w:space="0" w:color="auto"/>
              <w:right w:val="single" w:sz="6" w:space="0" w:color="auto"/>
            </w:tcBorders>
            <w:shd w:val="clear" w:color="auto" w:fill="FAE0D0" w:themeFill="accent4"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Jednom godišnje</w:t>
            </w:r>
          </w:p>
        </w:tc>
      </w:tr>
      <w:tr w:rsidR="00702E3C">
        <w:trPr>
          <w:jc w:val="center"/>
        </w:trPr>
        <w:tc>
          <w:tcPr>
            <w:tcW w:w="4820"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17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2026</w:t>
            </w:r>
          </w:p>
        </w:tc>
        <w:tc>
          <w:tcPr>
            <w:tcW w:w="178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178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2028</w:t>
            </w:r>
          </w:p>
        </w:tc>
        <w:tc>
          <w:tcPr>
            <w:tcW w:w="178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178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2030</w:t>
            </w:r>
          </w:p>
        </w:tc>
      </w:tr>
      <w:tr w:rsidR="00702E3C">
        <w:trPr>
          <w:jc w:val="center"/>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9.019</w:t>
            </w:r>
          </w:p>
        </w:tc>
        <w:tc>
          <w:tcPr>
            <w:tcW w:w="893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3742" w:type="dxa"/>
        <w:shd w:val="clear" w:color="auto" w:fill="FFFFFF"/>
        <w:tblCellMar>
          <w:left w:w="0" w:type="dxa"/>
          <w:right w:w="0" w:type="dxa"/>
        </w:tblCellMar>
        <w:tblLook w:val="04A0" w:firstRow="1" w:lastRow="0" w:firstColumn="1" w:lastColumn="0" w:noHBand="0" w:noVBand="1"/>
      </w:tblPr>
      <w:tblGrid>
        <w:gridCol w:w="1797"/>
        <w:gridCol w:w="3635"/>
        <w:gridCol w:w="1677"/>
        <w:gridCol w:w="1662"/>
        <w:gridCol w:w="1659"/>
        <w:gridCol w:w="1657"/>
        <w:gridCol w:w="1655"/>
      </w:tblGrid>
      <w:tr w:rsidR="00702E3C">
        <w:tc>
          <w:tcPr>
            <w:tcW w:w="1730"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012" w:type="dxa"/>
            <w:gridSpan w:val="6"/>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Prosječna duljina boravka turista u destinaciji (TP-2)</w:t>
            </w:r>
          </w:p>
        </w:tc>
      </w:tr>
      <w:tr w:rsidR="00702E3C">
        <w:tc>
          <w:tcPr>
            <w:tcW w:w="1730"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343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p</w:t>
            </w:r>
            <w:r>
              <w:rPr>
                <w:rFonts w:ascii="Times New Roman" w:eastAsia="Times New Roman" w:hAnsi="Times New Roman" w:cs="Times New Roman"/>
                <w:kern w:val="0"/>
                <w:sz w:val="18"/>
                <w:szCs w:val="18"/>
                <w:lang w:eastAsia="hr-HR"/>
                <w14:ligatures w14:val="none"/>
              </w:rPr>
              <w:softHyphen/>
              <w:t>okazatelja s međunarodnim sustavima</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UN TOURISM – MST/ETIS (prilagodba) – Prosječna duljina boravka dolaznih posjetitelja i prosječna duljina boravka domaćih posjetitelja/ Prosječna duljina boravka turista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turistički promet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12 – Odgovorna potrošnja i proizvodnja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Razvoj vremenski i prostorno ravnomjernije raspoređenog turističkog prometa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definira prosječan broj noćenja koje jedan turist ostvari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Duljina boravka, odnosno prosječan broj noćenja koje turisti ostvaruju u destinaciji se može smatrati relevantnom informacijom za upravljanje destinacijom, poglavito u kontekstu suvremenih trendova skraćenja duljine boravka, ali i s aspekta upravljanja ljudskim potencijalima potrebnim za održavanje ujednačene razine pružanja sveobuhvatne turističke usluge što se posebno odnosi na segment smještaja.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Podpokazatelji (opcionalno)</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Prosječna duljina boravka turista u destinaciji u kalendarskom mjesecu s najvećim brojem ostvarenih turističkih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Prosječna duljina boravka turista u destinaciji u kalendarskom mjesecu s najmanjim brojem ostvarenih turističkih noćenja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Prosječna duljina boravka turista u destinaciji u komercijalnom smještaju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Prosječna duljina boravka turista u destinaciji u nekomercijalnom smještaju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Dolazak turista predstavlja posjetitelja koji se prijavio i ostvario noćenje u objektu koji pruža uslugu smještaja. Noćenje turista predstavlja svaku registriranu noć posjetitelja u objektu koji pruža uslugu smještaja.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Registrirano noćenje u smještajnom objektu. Dolazak, odnosno prijava posjetitelja u smještajnom objektu.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eVisitor</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Podaci su dostupni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Podaci su kontinuirano dostupni</w:t>
            </w:r>
          </w:p>
        </w:tc>
      </w:tr>
      <w:tr w:rsidR="00702E3C">
        <w:tc>
          <w:tcPr>
            <w:tcW w:w="5168"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hAnsi="Times New Roman" w:cs="Times New Roman"/>
                <w:i/>
                <w:sz w:val="16"/>
                <w:szCs w:val="16"/>
              </w:rPr>
              <w:br/>
            </w:r>
            <m:oMathPara>
              <m:oMath>
                <m:r>
                  <w:rPr>
                    <w:rFonts w:ascii="Cambria Math" w:hAnsi="Cambria Math" w:cs="Times New Roman"/>
                    <w:sz w:val="16"/>
                    <w:szCs w:val="16"/>
                  </w:rPr>
                  <m:t>Prosječna duljina boravka turista u destinaciji  =</m:t>
                </m:r>
                <m:f>
                  <m:fPr>
                    <m:ctrlPr>
                      <w:rPr>
                        <w:rFonts w:ascii="Cambria Math" w:hAnsi="Cambria Math" w:cs="Times New Roman"/>
                        <w:sz w:val="16"/>
                        <w:szCs w:val="16"/>
                      </w:rPr>
                    </m:ctrlPr>
                  </m:fPr>
                  <m:num>
                    <m:r>
                      <w:rPr>
                        <w:rFonts w:ascii="Cambria Math" w:hAnsi="Cambria Math" w:cs="Times New Roman"/>
                        <w:sz w:val="16"/>
                        <w:szCs w:val="16"/>
                      </w:rPr>
                      <m:t>Ukupan broj registriranih noćenja u destinaciji</m:t>
                    </m:r>
                  </m:num>
                  <m:den>
                    <m:r>
                      <w:rPr>
                        <w:rFonts w:ascii="Cambria Math" w:hAnsi="Cambria Math" w:cs="Times New Roman"/>
                        <w:sz w:val="16"/>
                        <w:szCs w:val="16"/>
                      </w:rPr>
                      <m:t>Ukupan broj dolazaka turista u destinaciju</m:t>
                    </m:r>
                  </m:den>
                </m:f>
              </m:oMath>
            </m:oMathPara>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tc>
      </w:tr>
      <w:tr w:rsidR="00702E3C">
        <w:tc>
          <w:tcPr>
            <w:tcW w:w="5168"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Jednom godišnje</w:t>
            </w:r>
          </w:p>
        </w:tc>
      </w:tr>
      <w:tr w:rsidR="00702E3C">
        <w:tc>
          <w:tcPr>
            <w:tcW w:w="5168"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171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2026</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2028</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17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2030</w:t>
            </w:r>
          </w:p>
        </w:tc>
      </w:tr>
      <w:tr w:rsidR="00702E3C">
        <w:tc>
          <w:tcPr>
            <w:tcW w:w="516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6,9</w:t>
            </w:r>
          </w:p>
        </w:tc>
        <w:tc>
          <w:tcPr>
            <w:tcW w:w="8574"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4"/>
          <w:szCs w:val="24"/>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4"/>
          <w:szCs w:val="24"/>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4"/>
          <w:szCs w:val="24"/>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4"/>
          <w:szCs w:val="24"/>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4"/>
          <w:szCs w:val="24"/>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4"/>
          <w:szCs w:val="24"/>
          <w:lang w:eastAsia="hr-HR"/>
          <w14:ligatures w14:val="none"/>
        </w:rPr>
      </w:pPr>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b/>
          <w:bCs/>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89" w:name="_Toc217040718"/>
      <w:r>
        <w:rPr>
          <w:rFonts w:ascii="Times New Roman" w:eastAsia="Times New Roman" w:hAnsi="Times New Roman" w:cs="Times New Roman"/>
          <w:lang w:eastAsia="hr-HR"/>
        </w:rPr>
        <w:lastRenderedPageBreak/>
        <w:t>Poslovanje gospodarskih subjekata u turizmu</w:t>
      </w:r>
      <w:bookmarkEnd w:id="89"/>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04"/>
        <w:gridCol w:w="2219"/>
        <w:gridCol w:w="2417"/>
        <w:gridCol w:w="2415"/>
        <w:gridCol w:w="2414"/>
        <w:gridCol w:w="2415"/>
      </w:tblGrid>
      <w:tr w:rsidR="00702E3C">
        <w:tc>
          <w:tcPr>
            <w:tcW w:w="1837"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47" w:type="dxa"/>
            <w:gridSpan w:val="5"/>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Broj zaposlenih u djelatnostima pružanja smještaja te pripreme i usluživanja hrane</w:t>
            </w:r>
          </w:p>
        </w:tc>
      </w:tr>
      <w:tr w:rsidR="00702E3C">
        <w:tc>
          <w:tcPr>
            <w:tcW w:w="1837"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(prilagodba) – Udio zaposlenih u turističkim djelatnostima u odnosu na ukupno gospodarstvo</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Jačanje ljudskih potencijala u turizmu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definira ukupan broj zaposlenih na mjesečnoj razini u području I Djelatnosti pružanja smještaja te pripreme i usluživanja hrane sukladno važećoj nacionalnoj klasifikaciji djelatnosti (dalje u tekstu: NKD)</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Budući da rad predstavlja obvezni proizvodni čimbenik uslužnih djelatnosti, izravno povezan s isporukom turističkog proizvoda odnosno usluge, povećanje ili smanjenje ukupnog broja zaposlenih osoba u središnjim turističkim djelatnostima (pružanje smještaja te priprema i usluživanje hrane) može posredno ukazivati na poboljšanje odnosno pogoršanje poslovanja gospodarskih subjekata općenito u svim turističkim djelatnostima.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Broj zaposlenih u djelatnosti pružanja smještaja te pripreme i usluživanja hrane prema satima rada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Broj zaposlenih u djelatnosti pružanja smještaja te pripreme i usluživanja hrane po spolu, godišnji prosjek</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Prosjek broja zaposlenih u djelatnosti pružanja smještaja te pripreme i usluživanja hrane u odnosu na ukupan broj zaposlenih (%)</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zaposlenih prema mjestu rada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zaposlenih u djelatnosti pružanja smještaja te pripreme i usluživanja hrane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Fizička osoba u radnom odnosu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Ministarstvo rada, mirovinskoga sustava, obitelji i socijalne politike, Portal za napredno praćenje tržišta rada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Hrvatski zavod za mirovinsko osiguranje i podatci dostupni u Ministarstvu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2.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2. Podatak je kontinuirano dostupan podatak na mjesečnoj razini</w:t>
            </w:r>
          </w:p>
        </w:tc>
      </w:tr>
      <w:tr w:rsidR="00702E3C">
        <w:tc>
          <w:tcPr>
            <w:tcW w:w="406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se preuzimaju iz službenih administrativnih izvora</w:t>
            </w:r>
          </w:p>
        </w:tc>
      </w:tr>
      <w:tr w:rsidR="00702E3C">
        <w:tc>
          <w:tcPr>
            <w:tcW w:w="406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406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4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45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4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406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80</w:t>
            </w:r>
          </w:p>
        </w:tc>
        <w:tc>
          <w:tcPr>
            <w:tcW w:w="98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4"/>
          <w:szCs w:val="24"/>
          <w:lang w:eastAsia="hr-HR"/>
          <w14:ligatures w14:val="none"/>
        </w:rPr>
        <w:br/>
      </w:r>
    </w:p>
    <w:tbl>
      <w:tblPr>
        <w:tblW w:w="13742" w:type="dxa"/>
        <w:shd w:val="clear" w:color="auto" w:fill="FFFFFF"/>
        <w:tblCellMar>
          <w:left w:w="0" w:type="dxa"/>
          <w:right w:w="0" w:type="dxa"/>
        </w:tblCellMar>
        <w:tblLook w:val="04A0" w:firstRow="1" w:lastRow="0" w:firstColumn="1" w:lastColumn="0" w:noHBand="0" w:noVBand="1"/>
      </w:tblPr>
      <w:tblGrid>
        <w:gridCol w:w="1693"/>
        <w:gridCol w:w="2375"/>
        <w:gridCol w:w="2418"/>
        <w:gridCol w:w="2419"/>
        <w:gridCol w:w="2418"/>
        <w:gridCol w:w="2419"/>
      </w:tblGrid>
      <w:tr w:rsidR="00702E3C">
        <w:tc>
          <w:tcPr>
            <w:tcW w:w="1693"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049" w:type="dxa"/>
            <w:gridSpan w:val="5"/>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Poslovni prihod gospodarskih subjekata (obveznika poreza na dobit) u djelatnostima pružanja smještaja te pripreme i usluživanja hrane (PGS-2)</w:t>
            </w:r>
          </w:p>
        </w:tc>
      </w:tr>
      <w:tr w:rsidR="00702E3C">
        <w:tc>
          <w:tcPr>
            <w:tcW w:w="1693" w:type="dxa"/>
            <w:vMerge w:val="restart"/>
            <w:tcBorders>
              <w:top w:val="single" w:sz="6" w:space="0" w:color="auto"/>
              <w:left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međunarodnim sustavima</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Organizacija za ekonomsku suradnju i razvoj (u daljnjem tekstu: OECD): Izravni bruto domaći proizvod turizma, Produktivnost rada u turističkim djelatnostima (kombinacija – prilagodba)</w:t>
            </w:r>
          </w:p>
        </w:tc>
      </w:tr>
      <w:tr w:rsidR="00702E3C">
        <w:tc>
          <w:tcPr>
            <w:tcW w:w="1693" w:type="dxa"/>
            <w:vMerge/>
            <w:tcBorders>
              <w:left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poslovanje gospodarskih subjekata u turizmu i turistički promet</w:t>
            </w:r>
          </w:p>
        </w:tc>
      </w:tr>
      <w:tr w:rsidR="00702E3C">
        <w:tc>
          <w:tcPr>
            <w:tcW w:w="1693" w:type="dxa"/>
            <w:vMerge/>
            <w:tcBorders>
              <w:left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10 – Smanjenje nejednakosti</w:t>
            </w:r>
          </w:p>
        </w:tc>
      </w:tr>
      <w:tr w:rsidR="00702E3C">
        <w:tc>
          <w:tcPr>
            <w:tcW w:w="1693" w:type="dxa"/>
            <w:vMerge/>
            <w:tcBorders>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Unaprjeđenje strukture i kvalitete smještajnih kapaciteta</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Obilježja pokazatelja</w:t>
            </w: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definira poslovni prihod gospodarskih subjekata ostvaren tijekom godine u području I Djelatnosti pružanja smještaja te pripreme i usluživanja hrane sukladno važećem NKD-u</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Poslovni prihod izravno je povezan sa sposobnosti gospodarskih subjekata da isporuče turistički proizvod odnosno uslugu, pri čemu promjena u vremenu odnosno povećanje ili smanjenje poslovnog prihoda može ukazivati na poboljšanje odnosno pogoršanje poslovnog položaja gospodarskih subjekata uslijed internih ili eksternih razloga, ali i neizravno upućivati na položaj gospodarskih subjekata u svim turističkim djelatnostima na razini destinacije.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Podpokazatelji (opcionalno)</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dodana vrijednost gospodarskih subjekata registriranih na području destinacije ostvarena tijekom godine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bruto dobit/gubitak gospodarskih djelatnosti registriranih na području destinacije ostvaren tijekom godine</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Podatci</w:t>
            </w: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Poslovni prihod ostvaren tijekom godine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EUR</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FINA/Porezna uprava – podatak iz Registra godišnjih financijskih izvještaja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Podatak je dostupan na zahtjev od FINA/Porezna uprava, podrazumijeva posebnu obradu kako bi se dobili podaci na razini destinacije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2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Podatak je kontinuirano dostupan podatak na godišnjoj razini</w:t>
            </w:r>
          </w:p>
        </w:tc>
      </w:tr>
      <w:tr w:rsidR="00702E3C">
        <w:tc>
          <w:tcPr>
            <w:tcW w:w="4068"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Podaci će na zahtjev biti dostupni u Ministarstvu</w:t>
            </w:r>
          </w:p>
        </w:tc>
      </w:tr>
      <w:tr w:rsidR="00702E3C">
        <w:tc>
          <w:tcPr>
            <w:tcW w:w="4068"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Jednom godišnje</w:t>
            </w:r>
          </w:p>
        </w:tc>
      </w:tr>
      <w:tr w:rsidR="00702E3C">
        <w:tc>
          <w:tcPr>
            <w:tcW w:w="4068"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24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2026</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241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2028</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r>
      <w:tr w:rsidR="00702E3C">
        <w:tc>
          <w:tcPr>
            <w:tcW w:w="406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5.886.127,67</w:t>
            </w:r>
          </w:p>
        </w:tc>
        <w:tc>
          <w:tcPr>
            <w:tcW w:w="967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jc w:val="center"/>
        <w:textAlignment w:val="baseline"/>
        <w:rPr>
          <w:rFonts w:ascii="Times New Roman" w:eastAsia="Times New Roman" w:hAnsi="Times New Roman" w:cs="Times New Roman"/>
          <w:kern w:val="0"/>
          <w:sz w:val="24"/>
          <w:szCs w:val="24"/>
          <w:lang w:eastAsia="hr-HR"/>
          <w14:ligatures w14:val="none"/>
        </w:rPr>
      </w:pPr>
    </w:p>
    <w:p w:rsidR="00702E3C" w:rsidRDefault="004B1C83">
      <w:pPr>
        <w:pStyle w:val="Naslov1"/>
        <w:numPr>
          <w:ilvl w:val="0"/>
          <w:numId w:val="23"/>
        </w:numPr>
        <w:rPr>
          <w:rFonts w:ascii="Times New Roman" w:eastAsia="Times New Roman" w:hAnsi="Times New Roman" w:cs="Times New Roman"/>
          <w:b/>
          <w:bCs/>
          <w:lang w:eastAsia="hr-HR"/>
        </w:rPr>
      </w:pPr>
      <w:bookmarkStart w:id="90" w:name="_Toc217040719"/>
      <w:r>
        <w:rPr>
          <w:rFonts w:ascii="Times New Roman" w:eastAsia="Times New Roman" w:hAnsi="Times New Roman" w:cs="Times New Roman"/>
          <w:b/>
          <w:bCs/>
          <w:lang w:eastAsia="hr-HR"/>
        </w:rPr>
        <w:lastRenderedPageBreak/>
        <w:t>OBVEZNI POKAZATELJI ODRŽIVOSTI KOJI MJERE UTJECAJ TURIZMA NA PROSTORNE ASPEKTE ODRŽIVOSTI DESTINACIJE I ORGANIZACIJU TURIZMA</w:t>
      </w:r>
      <w:bookmarkEnd w:id="90"/>
    </w:p>
    <w:p w:rsidR="00702E3C" w:rsidRDefault="004B1C83">
      <w:pPr>
        <w:pStyle w:val="Naslov2"/>
        <w:numPr>
          <w:ilvl w:val="1"/>
          <w:numId w:val="23"/>
        </w:numPr>
        <w:rPr>
          <w:rFonts w:ascii="Times New Roman" w:eastAsia="Times New Roman" w:hAnsi="Times New Roman" w:cs="Times New Roman"/>
          <w:lang w:eastAsia="hr-HR"/>
        </w:rPr>
      </w:pPr>
      <w:bookmarkStart w:id="91" w:name="_Toc217040720"/>
      <w:r>
        <w:rPr>
          <w:rFonts w:ascii="Times New Roman" w:eastAsia="Times New Roman" w:hAnsi="Times New Roman" w:cs="Times New Roman"/>
          <w:lang w:eastAsia="hr-HR"/>
        </w:rPr>
        <w:t>Turistička infrastruktura</w:t>
      </w:r>
      <w:bookmarkEnd w:id="91"/>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3742" w:type="dxa"/>
        <w:shd w:val="clear" w:color="auto" w:fill="FFFFFF"/>
        <w:tblCellMar>
          <w:left w:w="0" w:type="dxa"/>
          <w:right w:w="0" w:type="dxa"/>
        </w:tblCellMar>
        <w:tblLook w:val="04A0" w:firstRow="1" w:lastRow="0" w:firstColumn="1" w:lastColumn="0" w:noHBand="0" w:noVBand="1"/>
      </w:tblPr>
      <w:tblGrid>
        <w:gridCol w:w="1837"/>
        <w:gridCol w:w="175"/>
        <w:gridCol w:w="3280"/>
        <w:gridCol w:w="8450"/>
      </w:tblGrid>
      <w:tr w:rsidR="00702E3C">
        <w:tc>
          <w:tcPr>
            <w:tcW w:w="1837"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1905" w:type="dxa"/>
            <w:gridSpan w:val="3"/>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Identifikacija i klasifikacija turističkih atrakcija (TI-1)</w:t>
            </w:r>
          </w:p>
        </w:tc>
      </w:tr>
      <w:tr w:rsidR="00702E3C">
        <w:tc>
          <w:tcPr>
            <w:tcW w:w="1837"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međunarodnim sustavima</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GSTC – Trenutačni popis i klasifikacija turističkih dobara i atrakcija uključujući prirodna i kulturna mjesta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turistička infrastruktura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8: Dostojan rad i ekonomski rast – promicanje održivog turizma koji pridonosi zapošljavanju i rastu.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Održivi gradovi i zajednice – očuvanje kulturne i prirodne baštine urbanog okruženja.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12: Održiva potrošnja i proizvodnja – odgovorno upravljanje prirodnim resursima.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15: Život na zemlji – zaštita, obnova i promicanje održive uporabe ekosustava, očuvanje biološke raznolikosti.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Repozicioniranje Hrvatske kao cjelogodišnje autentične destinacije održivog turizma</w:t>
            </w:r>
          </w:p>
        </w:tc>
      </w:tr>
      <w:tr w:rsidR="00702E3C">
        <w:tc>
          <w:tcPr>
            <w:tcW w:w="0" w:type="auto"/>
            <w:vMerge w:val="restart"/>
            <w:tcBorders>
              <w:top w:val="single" w:sz="6" w:space="0" w:color="auto"/>
              <w:left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vrši identifikacija i kategorizacija turističkih resursa na području destinacije, uključujući prirodne (parkovi, rezervati, pejzaži) i kulturno-povijes</w:t>
            </w:r>
            <w:r>
              <w:rPr>
                <w:rFonts w:ascii="Times New Roman" w:eastAsia="Times New Roman" w:hAnsi="Times New Roman" w:cs="Times New Roman"/>
                <w:kern w:val="0"/>
                <w:sz w:val="18"/>
                <w:szCs w:val="18"/>
                <w:lang w:eastAsia="hr-HR"/>
                <w14:ligatures w14:val="none"/>
              </w:rPr>
              <w:softHyphen/>
              <w:t>ne/antropogene atrakcije (povijesni lokaliteti, muzeji, spomenici, nematerijalna baština).</w:t>
            </w:r>
          </w:p>
        </w:tc>
      </w:tr>
      <w:tr w:rsidR="00702E3C">
        <w:tc>
          <w:tcPr>
            <w:tcW w:w="0" w:type="auto"/>
            <w:vMerge/>
            <w:tcBorders>
              <w:left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Identifikacija i kategorizacija turističkih resursa ključna je za razvoj održivog turizma jer omogućava efikasno upravljanje i očuvanje prirodnih i kulturnih resursa. Pruža temelj za kreiranje ciljanih marketinških strategija koje ističu jedinstvene atribute destinacije, privlačeći time odgovarajuće turiste. Osim toga, pomaže lokalnim zajednicama da razumiju i vrednuju svoju baštinu, potičući lokalno sudjelovanje i osvještavanje važnosti očuvanja tih resursa za buduće generacije.</w:t>
            </w:r>
          </w:p>
        </w:tc>
      </w:tr>
      <w:tr w:rsidR="00702E3C">
        <w:tc>
          <w:tcPr>
            <w:tcW w:w="0" w:type="auto"/>
            <w:vMerge/>
            <w:tcBorders>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Podpokazatelji (opcionalno)</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popisi kulturnih dobara (opcionalno, uključujući procjenu i naznaku ranjivosti)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 identifikacija i popisivanje nematerijalne kulturne baštine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popis lokaliteta i dobara prirodne baštine s naznakom vrste, stanja očuvanja i ranjivosti.</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Podatci</w:t>
            </w: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Popis i vrsta zaštićenih kulturnih dobara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Popis i vrsta kulturnih dobara nacionalnog značaja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Popis i vrsta preventivno zaštićenih dobara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4. Popis i kategorija zaštićenih prirodnih područja u RH</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4. broj/vrsta (kategorija)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3. Registar kulturnih dobara RH (ministarstvo nadležno za kulturu)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4. Bioportal (ministarstvo nadležno za zaštitu okoliša)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45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4. Kontinuirano dostupan podatak na godišnjoj razini.</w:t>
            </w:r>
          </w:p>
        </w:tc>
      </w:tr>
      <w:tr w:rsidR="00702E3C">
        <w:tc>
          <w:tcPr>
            <w:tcW w:w="5292" w:type="dxa"/>
            <w:gridSpan w:val="3"/>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r w:rsidR="00702E3C">
        <w:tc>
          <w:tcPr>
            <w:tcW w:w="5292" w:type="dxa"/>
            <w:gridSpan w:val="3"/>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45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Jednom godišnje</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C1E4F5"/>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2025</w:t>
            </w:r>
          </w:p>
          <w:p w:rsidR="00702E3C" w:rsidRDefault="00702E3C">
            <w:pPr>
              <w:spacing w:after="0" w:line="240" w:lineRule="auto"/>
              <w:jc w:val="center"/>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Popis i vrsta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Sv.Viktor na Citoriju (ostatci crkve / arheološki lokalitet / oznaka Z – 7695  / k.o.Sali)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Sv.Roka (nepokretno kulturno dobro / oznaka Z – 5045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Uznesenja Blažene Djevice Marije (nepokretno kulturno dobro / oznaka Z – 5046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Glazbena praksa Tovareća mužika (nematerijalno kulturno dobro / oznaka Z – 5723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Kaštel Guerini i crkvica sv.Nikola (nepokretno kulturno dobro / oznaka Z – 1567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Kuća Petricioli (nepokretno kulturno dobro / oznaka Z – 1566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Kuća Rančić (nepokretno kulturno dobro / oznaka Z – 4950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Gruh – Sv.Ivan – Stivanje polje (ostatci crkve i antičke vile / arheološki lokalitet / oznaka Z – 2380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Rodna kuća Petra Lorinija (nepokretno kulturno dobro / oznaka Z – 7701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Spomenik palim borcima (nepokretno kulturno dobro / oznaka Z – 7647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Stambeno gospodarski kompleks obitelji Guerini na Lavdari (nepokretno kulturno dobro / oznaka Z – 7795 / k.o. Sali)</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Svjetionik Sestrica Vela – Tajer (nepokretno kulturno dobro / oznaka Z – 6967 / k.o. Sali) </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i samostan sv.Mihovila (nepokretno kulturno dobro / oznaka Z – 2383 / k.o. Zaglav)</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sv.Pelegrina (nepokretno kulturno dobro / oznaka Z – 1568 / k.o. Savar)</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Pećina Vlakno (prapovijesni arheološki lokalitet / oznaka Z – 3432 / k.o. Savar)</w:t>
            </w:r>
          </w:p>
          <w:p w:rsidR="00702E3C" w:rsidRDefault="004B1C83">
            <w:pPr>
              <w:pStyle w:val="Odlomakpopisa"/>
              <w:numPr>
                <w:ilvl w:val="2"/>
                <w:numId w:val="5"/>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Jadranska marijanska maritimna hodočašća (nematerijalno kulturno dobro / oznaka Z – 7864 / Kukljica, Murter, Nin, Rogoznica i Sali)</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Popis i vrsta kulturnih dobara nacionalnog značaja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pStyle w:val="Odlomakpopisa"/>
              <w:numPr>
                <w:ilvl w:val="0"/>
                <w:numId w:val="6"/>
              </w:numPr>
              <w:spacing w:after="0" w:line="240" w:lineRule="auto"/>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Popis i vrsta preventivno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pStyle w:val="Odlomakpopisa"/>
              <w:numPr>
                <w:ilvl w:val="0"/>
                <w:numId w:val="28"/>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Ostatci kasnoantičkog objekta na lokalitetu Kampus – Mirine na otočiću Utran (ostatci crkve / arheološki lokalitet / oznaka P – 6465 / k.o. Brbinj)</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 xml:space="preserve">Popis i vrsta kulturnih dobara odlukom JLS-a i tzv.status E – evidentirano Prostornim planom Općine Sali </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pStyle w:val="Odlomakpopisa"/>
              <w:numPr>
                <w:ilvl w:val="0"/>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Povijesna naselja i dijelovi naselja: </w:t>
            </w:r>
          </w:p>
          <w:p w:rsidR="00702E3C" w:rsidRDefault="004B1C83">
            <w:pPr>
              <w:pStyle w:val="Odlomakpopisa"/>
              <w:numPr>
                <w:ilvl w:val="1"/>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 xml:space="preserve">Ruralno – urbane cjeline: </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Porat (Sali) </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Južno selo (Sali) </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Zmorašnje selo (Sali)</w:t>
            </w:r>
          </w:p>
          <w:p w:rsidR="00702E3C" w:rsidRDefault="004B1C83">
            <w:pPr>
              <w:pStyle w:val="Odlomakpopisa"/>
              <w:numPr>
                <w:ilvl w:val="1"/>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 xml:space="preserve">Ruralne cjeline: </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Dvor Šešelja (Zaglav)</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Dvor Špralja (Zaglav)</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Dvor Čuka (Zaglav)</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Dvor Didović (Žman)</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Dvor Morović (Žman)</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Dvor Kišeta (Žman)</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Dvor Vidulić (Žman)</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Kuća Šegota (Žman)</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Kuća Antonina (Žman)</w:t>
            </w:r>
          </w:p>
          <w:p w:rsidR="00702E3C" w:rsidRDefault="004B1C83">
            <w:pPr>
              <w:pStyle w:val="Odlomakpopisa"/>
              <w:numPr>
                <w:ilvl w:val="0"/>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Povijesne građevine i sklopovi</w:t>
            </w:r>
          </w:p>
          <w:p w:rsidR="00702E3C" w:rsidRDefault="004B1C83">
            <w:pPr>
              <w:pStyle w:val="Odlomakpopisa"/>
              <w:numPr>
                <w:ilvl w:val="1"/>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Sakralne građevine, crkve, kapele, samostani i stambene građevine</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Župna crkva sv.Antuna Padovanskog (Veli rat)</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Kapela sv.Nikole (Veli rat)</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Gospe Karmelske ( Verunić)</w:t>
            </w:r>
          </w:p>
          <w:p w:rsidR="00702E3C" w:rsidRDefault="004B1C83">
            <w:pPr>
              <w:pStyle w:val="Odlomakpopisa"/>
              <w:numPr>
                <w:ilvl w:val="2"/>
                <w:numId w:val="29"/>
              </w:numP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sv.Jakova apostola (Soline)</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Župna crkva sv.Nikole (Božava)</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sv.Križa (Božava)</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sv.Nediljice (Božava)</w:t>
            </w:r>
          </w:p>
          <w:p w:rsidR="00702E3C" w:rsidRDefault="004B1C83">
            <w:pPr>
              <w:pStyle w:val="Odlomakpopisa"/>
              <w:numPr>
                <w:ilvl w:val="2"/>
                <w:numId w:val="29"/>
              </w:numP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Male Gospe na Dubovici (Dragove)</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Župna crkva sv.Kuzme i Damjana (Brbinj)</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Ljetnikovac  obitelji Soppe i kapela sv.Blaža (Brbinj)</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Župna crkva Gospe od Karmela (Savar)</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Ruševine samostana sv.Antuna (Savar)</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Župna crkva sv. Stjepana (Luka)</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Kapela sv.Nikole (Luka)</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Ruševna crkva sv.Nikole u Suvčenu (Luka)</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Župna crkva sv.Ivana (Žman)</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Kapelica Male Gospe (Sali)</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sv.Ante (Sali)</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Crkva sv.Ignacija Lojole (Zverinac)</w:t>
            </w:r>
          </w:p>
          <w:p w:rsidR="00702E3C" w:rsidRDefault="004B1C83">
            <w:pPr>
              <w:pStyle w:val="Odlomakpopisa"/>
              <w:numPr>
                <w:ilvl w:val="2"/>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Ljetnikovac Fanfogna (Zverinac)</w:t>
            </w:r>
          </w:p>
          <w:p w:rsidR="00702E3C" w:rsidRDefault="004B1C83">
            <w:pPr>
              <w:pStyle w:val="Odlomakpopisa"/>
              <w:numPr>
                <w:ilvl w:val="0"/>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Tehničke i vojne građevine</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Svjetionik Veli rat</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Vojni potkopi (Dragove, Božava)</w:t>
            </w:r>
          </w:p>
          <w:p w:rsidR="00702E3C" w:rsidRDefault="004B1C83">
            <w:pPr>
              <w:pStyle w:val="Odlomakpopisa"/>
              <w:numPr>
                <w:ilvl w:val="0"/>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Arheološki lokaliteti (kopneni)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Antička vila u Maloj Proversi (Sali)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Liburnske grobne gomile u polju Čuh</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Ostatci crkvice sv.Luke u Čuhu</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Gradina Koženjak (Sali)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Gradina Veli Brčastac (Sali)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Gradina Omišenjak (Sali)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Gradina Omiš (Sali)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Gradina Gradac (Žman)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Gradina Zarubinjak (Žman)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Gračina (Žman)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Vela Straža (Luka)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Straža (Luka)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Gomilina (Savar)</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Gračina (Brbinj)</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Vrh Zlata (Dragove)</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Kruna (Božava)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Gradina Gračina (Božava)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Spilja Veli Badanj</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Spilja Kozja peć</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Spilja Strašna peć</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Sv.Jelena (Veli rat)</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Mirice i Meja (Veli rat – antički posjedi)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Grobina (Veli rat – antički posjed)</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Šipnate / Selišće (Božava – antički posjed)</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Rt Utra (Brbinj – antički posjed)</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Ovča (Savar – antički kamenolom)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Crkvina (Luka – ranokršćanski objekt)</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Dolac (Luka – antički posjed)</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Žmanska jezera (Žman – rimska carska vila)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Vrtac (Sali – naselje)</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O. Mrtenjak (rimski kamenolom)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O. Lavdara (rimski kamenolomi)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 xml:space="preserve"> O. Katina (ladanjski dio rimske vile)</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O. Zverinac - Ripišće (ranokršćanski objekt)</w:t>
            </w:r>
          </w:p>
          <w:p w:rsidR="00702E3C" w:rsidRDefault="00702E3C">
            <w:pPr>
              <w:pStyle w:val="Odlomakpopisa"/>
              <w:spacing w:after="0" w:line="240" w:lineRule="auto"/>
              <w:rPr>
                <w:rFonts w:ascii="Times New Roman" w:eastAsia="Times New Roman" w:hAnsi="Times New Roman" w:cs="Times New Roman"/>
                <w:kern w:val="0"/>
                <w:sz w:val="18"/>
                <w:szCs w:val="18"/>
                <w:lang w:eastAsia="hr-HR"/>
                <w14:ligatures w14:val="none"/>
              </w:rPr>
            </w:pPr>
          </w:p>
          <w:p w:rsidR="00702E3C" w:rsidRDefault="004B1C83">
            <w:pPr>
              <w:pStyle w:val="Odlomakpopisa"/>
              <w:numPr>
                <w:ilvl w:val="0"/>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Arheološki lokaliteti (podmorski)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 Veli Lagan (dva antička brodoloma)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Rt Suha Punta (antički brodolom)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Mostić (Veli rat – antička lučka instalacija i vivarij)</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Uvala Ćune (Veli rat – antički vivarij)</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Saular (Verunić – antičko pristanište)</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Uvala Solišćica (Soline – antičke solane)</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Rt Lopata (dva antička brodoloma)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Rt Tomanja (Božava (antički brodolom)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Uvala Šipnate (antički pristan)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 Mežanj (antički brodolomi)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Lučina (solane i brodolom)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Jaz (antički pristan i brodolom)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Bok (antički pristan)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Ovča (operativni dio obale – antika)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Žmanšćica (antički pristan)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Jaz (antički i srednjovjekovni pristani, vivarij)</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Magrovica (antički i srednjovjekovni pristani)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Tripuljak (antički pristan)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Loišće (antički brodolom)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O. Garmenjak (višestruki antički brodolomi)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Rt Vidilica (antički pristan)</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Rt Tatinje (antički brodolom)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O.Gornja Aba (antički brodolom)</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O.Trimuli i Trstikovac (antički vivariji)</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 Uvala Pokapić o. Zverinac (antička vila i pristan)</w:t>
            </w:r>
          </w:p>
          <w:p w:rsidR="00702E3C" w:rsidRDefault="004B1C83">
            <w:pPr>
              <w:pStyle w:val="Odlomakpopisa"/>
              <w:numPr>
                <w:ilvl w:val="0"/>
                <w:numId w:val="29"/>
              </w:numPr>
              <w:spacing w:after="0" w:line="240" w:lineRule="auto"/>
              <w:rPr>
                <w:rFonts w:ascii="Times New Roman" w:eastAsia="Times New Roman" w:hAnsi="Times New Roman" w:cs="Times New Roman"/>
                <w:i/>
                <w:iCs/>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Spomenik ili spomen obilježje</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Spomenik partizanima u Bludu</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Spomenik NOR-a u Polju</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Spomenik NOR-a u Solinama</w:t>
            </w:r>
          </w:p>
          <w:p w:rsidR="00702E3C" w:rsidRDefault="004B1C83">
            <w:pPr>
              <w:pStyle w:val="Odlomakpopisa"/>
              <w:numPr>
                <w:ilvl w:val="1"/>
                <w:numId w:val="29"/>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Stari škver u Sašćici</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 xml:space="preserve">Popis i vrsta zaštićene prirodne baštine </w:t>
            </w:r>
          </w:p>
          <w:p w:rsidR="00702E3C" w:rsidRDefault="00702E3C">
            <w:pPr>
              <w:spacing w:after="0" w:line="240" w:lineRule="auto"/>
              <w:rPr>
                <w:rFonts w:ascii="Times New Roman" w:eastAsia="Times New Roman" w:hAnsi="Times New Roman" w:cs="Times New Roman"/>
                <w:b/>
                <w:bCs/>
                <w:kern w:val="0"/>
                <w:sz w:val="18"/>
                <w:szCs w:val="18"/>
                <w:lang w:eastAsia="hr-HR"/>
                <w14:ligatures w14:val="none"/>
              </w:rPr>
            </w:pP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numPr>
                <w:ilvl w:val="0"/>
                <w:numId w:val="30"/>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Park prirode Telašćica: </w:t>
            </w:r>
          </w:p>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Ukupne površine 6.999,28 ha, od čega 2531,14 ha pripada kopnu, a veći dio od 4.468,15 ha se odnosi na more. </w:t>
            </w:r>
          </w:p>
          <w:p w:rsidR="00702E3C" w:rsidRDefault="004B1C83">
            <w:pPr>
              <w:spacing w:after="0" w:line="240" w:lineRule="auto"/>
              <w:rPr>
                <w:rFonts w:ascii="Times New Roman" w:eastAsia="Times New Roman" w:hAnsi="Times New Roman" w:cs="Times New Roman"/>
                <w:kern w:val="0"/>
                <w:sz w:val="18"/>
                <w:szCs w:val="18"/>
                <w:lang w:eastAsia="hr-HR"/>
                <w14:ligatures w14:val="none"/>
              </w:rPr>
            </w:pPr>
            <w:hyperlink r:id="rId21" w:history="1">
              <w:r>
                <w:rPr>
                  <w:rStyle w:val="Hiperveza"/>
                  <w:rFonts w:ascii="Times New Roman" w:eastAsia="Times New Roman" w:hAnsi="Times New Roman" w:cs="Times New Roman"/>
                  <w:color w:val="auto"/>
                  <w:kern w:val="0"/>
                  <w:sz w:val="18"/>
                  <w:szCs w:val="18"/>
                  <w:lang w:eastAsia="hr-HR"/>
                  <w14:ligatures w14:val="none"/>
                </w:rPr>
                <w:t>https://pp-telascica.hr/</w:t>
              </w:r>
            </w:hyperlink>
            <w:r>
              <w:rPr>
                <w:rFonts w:ascii="Times New Roman" w:eastAsia="Times New Roman" w:hAnsi="Times New Roman" w:cs="Times New Roman"/>
                <w:kern w:val="0"/>
                <w:sz w:val="18"/>
                <w:szCs w:val="18"/>
                <w:lang w:eastAsia="hr-HR"/>
                <w14:ligatures w14:val="none"/>
              </w:rPr>
              <w:t xml:space="preserve"> </w:t>
            </w:r>
          </w:p>
          <w:p w:rsidR="00702E3C" w:rsidRDefault="004B1C83">
            <w:pPr>
              <w:numPr>
                <w:ilvl w:val="0"/>
                <w:numId w:val="30"/>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Značajni krajobraz SZ dio Dugog otoka</w:t>
            </w:r>
          </w:p>
          <w:p w:rsidR="00702E3C" w:rsidRDefault="004B1C83">
            <w:pPr>
              <w:numPr>
                <w:ilvl w:val="0"/>
                <w:numId w:val="30"/>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Botanički rezervat Saljsko polje</w:t>
            </w:r>
          </w:p>
          <w:p w:rsidR="00702E3C" w:rsidRDefault="004B1C83">
            <w:pPr>
              <w:numPr>
                <w:ilvl w:val="0"/>
                <w:numId w:val="30"/>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Ekološke mreže značajnih za očuvanje vrsta i stanišnih tipova: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HR3000067 Luka Soliščica; Dugi Otok;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 xml:space="preserve">HR3000068 Uvala Golubinka – rt Lopata;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HR3000069 Uvala Sakarun;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HR3000070 Z. obala Dugog otoka;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HR3000071 Uvala Brbišćica;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HR3000072 Uvala Zagračina;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HR3000073 J rt o. Zverinac; </w:t>
            </w:r>
          </w:p>
          <w:p w:rsidR="00702E3C" w:rsidRDefault="004B1C83">
            <w:pPr>
              <w:numPr>
                <w:ilvl w:val="0"/>
                <w:numId w:val="31"/>
              </w:num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HR3000078 Otok Tukošćak i otok Mrtonjak</w:t>
            </w:r>
          </w:p>
          <w:p w:rsidR="00702E3C" w:rsidRDefault="00702E3C">
            <w:pPr>
              <w:numPr>
                <w:ilvl w:val="0"/>
                <w:numId w:val="31"/>
              </w:numPr>
              <w:spacing w:after="0" w:line="240" w:lineRule="auto"/>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Ukupna površina područja obuhvaćenih od 2. do 4. iznosi 3.110,77 ha, od čega se 854,1 ha odnosi na zaštićena područja koja obuhvaćaju isključivo kopno, a 2.256,67 ha odnosi se na PEM koja obuhvaćaju isključivo more.</w:t>
            </w:r>
          </w:p>
          <w:p w:rsidR="00702E3C" w:rsidRDefault="004B1C83">
            <w:pPr>
              <w:spacing w:after="0" w:line="240" w:lineRule="auto"/>
              <w:rPr>
                <w:rFonts w:ascii="Times New Roman" w:eastAsia="Times New Roman" w:hAnsi="Times New Roman" w:cs="Times New Roman"/>
                <w:kern w:val="0"/>
                <w:sz w:val="18"/>
                <w:szCs w:val="18"/>
                <w:lang w:eastAsia="hr-HR"/>
                <w14:ligatures w14:val="none"/>
              </w:rPr>
            </w:pPr>
            <w:hyperlink r:id="rId22" w:history="1">
              <w:r>
                <w:rPr>
                  <w:rStyle w:val="Hiperveza"/>
                  <w:rFonts w:ascii="Times New Roman" w:eastAsia="Times New Roman" w:hAnsi="Times New Roman" w:cs="Times New Roman"/>
                  <w:color w:val="auto"/>
                  <w:kern w:val="0"/>
                  <w:sz w:val="18"/>
                  <w:szCs w:val="18"/>
                  <w:lang w:eastAsia="hr-HR"/>
                  <w14:ligatures w14:val="none"/>
                </w:rPr>
                <w:t>https://www.natura-jadera.hr/</w:t>
              </w:r>
            </w:hyperlink>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lastRenderedPageBreak/>
              <w:t>Popis turističkih atrakcija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Špilja Golubinka</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Penjališta:</w:t>
            </w:r>
          </w:p>
          <w:p w:rsidR="00702E3C" w:rsidRDefault="004B1C8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Stara Kava (4a - 7a)</w:t>
            </w:r>
          </w:p>
          <w:p w:rsidR="00702E3C" w:rsidRDefault="004B1C8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Pećina (5b - 7b)</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Vidikovci:</w:t>
            </w:r>
          </w:p>
          <w:p w:rsidR="00702E3C" w:rsidRDefault="004B1C83">
            <w:pPr>
              <w:spacing w:after="0" w:line="240" w:lineRule="auto"/>
              <w:ind w:firstLine="220"/>
              <w:rPr>
                <w:rFonts w:ascii="Times New Roman" w:hAnsi="Times New Roman" w:cs="Times New Roman"/>
                <w:sz w:val="18"/>
                <w:szCs w:val="18"/>
              </w:rPr>
            </w:pPr>
            <w:r>
              <w:rPr>
                <w:rFonts w:ascii="Times New Roman" w:hAnsi="Times New Roman" w:cs="Times New Roman"/>
                <w:sz w:val="18"/>
                <w:szCs w:val="18"/>
              </w:rPr>
              <w:t>- Božavski vrh</w:t>
            </w:r>
          </w:p>
          <w:p w:rsidR="00702E3C" w:rsidRDefault="004B1C83">
            <w:pPr>
              <w:spacing w:after="0" w:line="240" w:lineRule="auto"/>
              <w:ind w:firstLineChars="100" w:firstLine="180"/>
              <w:rPr>
                <w:rFonts w:ascii="Times New Roman" w:hAnsi="Times New Roman" w:cs="Times New Roman"/>
                <w:sz w:val="18"/>
                <w:szCs w:val="18"/>
              </w:rPr>
            </w:pPr>
            <w:r>
              <w:rPr>
                <w:rFonts w:ascii="Times New Roman" w:hAnsi="Times New Roman" w:cs="Times New Roman"/>
                <w:sz w:val="18"/>
                <w:szCs w:val="18"/>
              </w:rPr>
              <w:t>- Kamenolom</w:t>
            </w:r>
          </w:p>
          <w:p w:rsidR="00702E3C" w:rsidRDefault="004B1C83">
            <w:pPr>
              <w:spacing w:after="0" w:line="240" w:lineRule="auto"/>
              <w:ind w:firstLineChars="100" w:firstLine="180"/>
              <w:rPr>
                <w:rFonts w:ascii="Times New Roman" w:hAnsi="Times New Roman" w:cs="Times New Roman"/>
                <w:sz w:val="18"/>
                <w:szCs w:val="18"/>
              </w:rPr>
            </w:pPr>
            <w:r>
              <w:rPr>
                <w:rFonts w:ascii="Times New Roman" w:hAnsi="Times New Roman" w:cs="Times New Roman"/>
                <w:sz w:val="18"/>
                <w:szCs w:val="18"/>
              </w:rPr>
              <w:t>- Grpašćak</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Uvala Most</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Veli Žal</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Brbišćica</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Zmajvevo oko</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Orljak - planinarska staza</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Biciklističke staze</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Pješačke staze</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Staze ljekovitog bilja</w:t>
            </w:r>
          </w:p>
          <w:p w:rsidR="00702E3C" w:rsidRDefault="004B1C83">
            <w:pPr>
              <w:numPr>
                <w:ilvl w:val="0"/>
                <w:numId w:val="32"/>
              </w:numPr>
              <w:spacing w:after="0" w:line="240" w:lineRule="auto"/>
              <w:rPr>
                <w:rFonts w:ascii="Times New Roman" w:hAnsi="Times New Roman" w:cs="Times New Roman"/>
                <w:sz w:val="18"/>
                <w:szCs w:val="18"/>
              </w:rPr>
            </w:pPr>
            <w:r>
              <w:rPr>
                <w:rFonts w:ascii="Times New Roman" w:hAnsi="Times New Roman" w:cs="Times New Roman"/>
                <w:sz w:val="18"/>
                <w:szCs w:val="18"/>
              </w:rPr>
              <w:t>Arheološke staze</w:t>
            </w:r>
          </w:p>
          <w:p w:rsidR="00702E3C" w:rsidRDefault="004B1C83">
            <w:pPr>
              <w:numPr>
                <w:ilvl w:val="0"/>
                <w:numId w:val="32"/>
              </w:numPr>
              <w:spacing w:after="0" w:line="240" w:lineRule="auto"/>
              <w:rPr>
                <w:rFonts w:ascii="Times New Roman" w:hAnsi="Times New Roman" w:cs="Times New Roman"/>
              </w:rPr>
            </w:pPr>
            <w:r>
              <w:rPr>
                <w:rFonts w:ascii="Times New Roman" w:hAnsi="Times New Roman" w:cs="Times New Roman"/>
                <w:sz w:val="18"/>
                <w:szCs w:val="18"/>
              </w:rPr>
              <w:t>Lopata/Sakarun</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 xml:space="preserve">Vrijednost </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4B1C83">
            <w:pPr>
              <w:spacing w:after="0" w:line="240" w:lineRule="auto"/>
              <w:ind w:left="720"/>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2026</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bookmarkStart w:id="92" w:name="_Hlk204539171"/>
            <w:r>
              <w:rPr>
                <w:rFonts w:ascii="Times New Roman" w:eastAsia="Times New Roman" w:hAnsi="Times New Roman" w:cs="Times New Roman"/>
                <w:kern w:val="0"/>
                <w:sz w:val="18"/>
                <w:szCs w:val="18"/>
                <w:lang w:eastAsia="hr-HR"/>
                <w14:ligatures w14:val="none"/>
              </w:rPr>
              <w:t>Popis i vrsta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hAnsi="Times New Roman" w:cs="Times New Roman"/>
                <w:sz w:val="18"/>
                <w:szCs w:val="18"/>
              </w:rPr>
              <w:t>Popis i vrsta kulturnih dobara nacionalnog značaja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hAnsi="Times New Roman" w:cs="Times New Roman"/>
                <w:sz w:val="18"/>
                <w:szCs w:val="18"/>
              </w:rPr>
              <w:lastRenderedPageBreak/>
              <w:t>Popis i vrsta preventivno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hAnsi="Times New Roman" w:cs="Times New Roman"/>
                <w:sz w:val="18"/>
                <w:szCs w:val="18"/>
              </w:rPr>
              <w:t xml:space="preserve">Popis i vrsta kulturnih dobara odlukom JLS-a i tzv.status E – evidentirano Prostornim planom Općine Sali </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Popis i vrsta zaštićene prirodne baštine</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bookmarkEnd w:id="92"/>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Vrijednost</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4B1C83">
            <w:pPr>
              <w:spacing w:after="0" w:line="240" w:lineRule="auto"/>
              <w:ind w:left="720"/>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Popis i vrsta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hAnsi="Times New Roman" w:cs="Times New Roman"/>
                <w:sz w:val="18"/>
                <w:szCs w:val="18"/>
              </w:rPr>
              <w:t>Popis i vrsta kulturnih dobara nacionalnog značaja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hAnsi="Times New Roman" w:cs="Times New Roman"/>
                <w:sz w:val="18"/>
                <w:szCs w:val="18"/>
              </w:rPr>
              <w:t>Popis i vrsta preventivno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tcPr>
          <w:p w:rsidR="00702E3C" w:rsidRDefault="004B1C83">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Popis i vrsta kulturnih dobara odlukom JLS-a i tzv.status E – evidentirano Prostornim planom Općine Sali </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hAnsi="Times New Roman" w:cs="Times New Roman"/>
                <w:sz w:val="18"/>
                <w:szCs w:val="18"/>
              </w:rPr>
            </w:pPr>
            <w:r>
              <w:rPr>
                <w:rFonts w:ascii="Times New Roman" w:eastAsia="Times New Roman" w:hAnsi="Times New Roman" w:cs="Times New Roman"/>
                <w:kern w:val="0"/>
                <w:sz w:val="18"/>
                <w:szCs w:val="18"/>
                <w:lang w:eastAsia="hr-HR"/>
                <w14:ligatures w14:val="none"/>
              </w:rPr>
              <w:t>Popis i vrsta zaštićene prirodne baštine</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Vrijednost </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4B1C83">
            <w:pPr>
              <w:spacing w:after="0" w:line="240" w:lineRule="auto"/>
              <w:ind w:left="720"/>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2028</w:t>
            </w: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Popis i vrsta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Popis i vrsta kulturnih dobara nacionalnog značaja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Popis i vrsta preventivno zaštićenih kulturnih dobara</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Popis i vrsta kulturnih dobara odlukom JLS-a i tzv.status E – evidentirano Prostornim planom Općine Sali </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r w:rsidR="00702E3C">
        <w:tc>
          <w:tcPr>
            <w:tcW w:w="201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Popis i vrsta zaštićene prirodne baštine</w:t>
            </w:r>
          </w:p>
        </w:tc>
        <w:tc>
          <w:tcPr>
            <w:tcW w:w="117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ind w:left="720"/>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4B1C83">
      <w:pPr>
        <w:pStyle w:val="Naslov2"/>
        <w:numPr>
          <w:ilvl w:val="1"/>
          <w:numId w:val="23"/>
        </w:numPr>
        <w:rPr>
          <w:rFonts w:ascii="Times New Roman" w:eastAsia="Times New Roman" w:hAnsi="Times New Roman" w:cs="Times New Roman"/>
          <w:lang w:eastAsia="hr-HR"/>
        </w:rPr>
      </w:pPr>
      <w:bookmarkStart w:id="93" w:name="_Toc217040721"/>
      <w:r>
        <w:rPr>
          <w:rFonts w:ascii="Times New Roman" w:eastAsia="Times New Roman" w:hAnsi="Times New Roman" w:cs="Times New Roman"/>
          <w:lang w:eastAsia="hr-HR"/>
        </w:rPr>
        <w:t>Održivo upravljanje destinacijom</w:t>
      </w:r>
      <w:bookmarkEnd w:id="93"/>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4451" w:type="dxa"/>
        <w:shd w:val="clear" w:color="auto" w:fill="FFFFFF"/>
        <w:tblCellMar>
          <w:left w:w="0" w:type="dxa"/>
          <w:right w:w="0" w:type="dxa"/>
        </w:tblCellMar>
        <w:tblLook w:val="04A0" w:firstRow="1" w:lastRow="0" w:firstColumn="1" w:lastColumn="0" w:noHBand="0" w:noVBand="1"/>
      </w:tblPr>
      <w:tblGrid>
        <w:gridCol w:w="1836"/>
        <w:gridCol w:w="3742"/>
        <w:gridCol w:w="2219"/>
        <w:gridCol w:w="2218"/>
        <w:gridCol w:w="2218"/>
        <w:gridCol w:w="2218"/>
      </w:tblGrid>
      <w:tr w:rsidR="00702E3C">
        <w:tc>
          <w:tcPr>
            <w:tcW w:w="1830"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621" w:type="dxa"/>
            <w:gridSpan w:val="5"/>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Status implementacije aktivnosti iz plana upravljanja destinacijom (OUD -1)</w:t>
            </w:r>
          </w:p>
        </w:tc>
      </w:tr>
      <w:tr w:rsidR="00702E3C">
        <w:tc>
          <w:tcPr>
            <w:tcW w:w="1830"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37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međunarodnim sustavima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GSTC – Višegodišnji plan ili strategija odredišta koja je ažurna i javno dostupna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održivo upravljanje destinacijom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Održivi gradovi i zajednice – Ovaj cilj se fokusira na stvaranje održivih i otpornih urbanih područja. Višegodišnji planovi ili strategije za odredišta, koji su ažurni i javno dostupni, igraju ključnu ulogu u planiranju i upravljanju urbanim razvojem, uključujući turističke destinacije.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8: Dostojan rad i ekonomski rast – Strategije koje promiču održivi razvoj turističkih destinacija mogu doprinijeti održivom ekonomskom rastu i stvaranju kvalitetnih radnih mjesta.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12: Održiva potrošnja i proizvodnja – Višegodišnje strategije koje uključuju načela održive potrošnje i proizvodnje mogu pomoći u smanjenju ekološkog otiska turizma i promicanju održivih praksi u lokalnim zajednicama.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Cilj 17: Partnerstva za ciljeve – Uspostavljanje partnerstava između različitih dionika, uključujući vladine i nevladine organizacije, privatni sektor i lokalne zajednice, ključno je za razvoj i provedbu uspješnih strategija održivog razvoja.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sa </w:t>
            </w:r>
            <w:r>
              <w:rPr>
                <w:rFonts w:ascii="Times New Roman" w:eastAsia="Times New Roman" w:hAnsi="Times New Roman" w:cs="Times New Roman"/>
                <w:kern w:val="0"/>
                <w:sz w:val="18"/>
                <w:szCs w:val="18"/>
                <w:lang w:eastAsia="hr-HR"/>
                <w14:ligatures w14:val="none"/>
              </w:rPr>
              <w:softHyphen/>
              <w:t>Strategijom i Nacionalnim planom</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Uspostavljanje učinkovitog okvira za upravljanje razvojem održivog razvoja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je definiran kao praćenje statusa implementacije Plana upravljanja, pri čemu je polazište terminski plan aktivnosti i njihove implementacije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 i svrha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Postojanje Plana upravljanja preduvjet je destinacijskog razvoja za sva odredišta u Hrvatskoj, stoga je uspješna implementacija aktivnosti iz Plana polazište za održivo upravljanje destinacijom, te praćenja stanja upravljačkih aktivnosti.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Podpokazatelji (opcinalno)</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Objavljeni dokument strategije i/ili akcijskog plana destinacije.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Strategija/plan su jasno vidljivi i dostupni online.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Udio implementiranih aktivnosti iz plana (Implementirana aktivnost je aktivnost koja je u potpunosti provedena, završena, te postoje informacije u učinku iste)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Strategija/ plan izrađen i javno dostupan – DA/NE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Ukupan broj aktivnosti definiranih Planom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Broj implementiranih aktivnosti definiranih planom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Višegodišnji plan i/ili strategija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Broj aktivnosti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Broj implementiranih aktivnosti / ukupan broj aktivnosti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2. i 3. Turistička zajednica /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3. Podatak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3. jednom godišnje</w:t>
            </w:r>
          </w:p>
        </w:tc>
      </w:tr>
      <w:tr w:rsidR="00702E3C">
        <w:tc>
          <w:tcPr>
            <w:tcW w:w="5559"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Omjer implementiranih aktivnosti / ukupni broj aktivnosti definiranih Planom X 100</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Implementirane aktivnosti su one koje su u potpunosti završene, te za njih postoje mjerljivi rezultati provedbe.</w:t>
            </w:r>
          </w:p>
        </w:tc>
      </w:tr>
      <w:tr w:rsidR="00702E3C">
        <w:tc>
          <w:tcPr>
            <w:tcW w:w="5559"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Jednom godišnje</w:t>
            </w:r>
          </w:p>
        </w:tc>
      </w:tr>
      <w:tr w:rsidR="00702E3C">
        <w:tc>
          <w:tcPr>
            <w:tcW w:w="5559"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22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2026</w:t>
            </w:r>
          </w:p>
        </w:tc>
        <w:tc>
          <w:tcPr>
            <w:tcW w:w="222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222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2028</w:t>
            </w:r>
          </w:p>
        </w:tc>
        <w:tc>
          <w:tcPr>
            <w:tcW w:w="222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r>
      <w:tr w:rsidR="00702E3C">
        <w:tc>
          <w:tcPr>
            <w:tcW w:w="5559"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lastRenderedPageBreak/>
              <w:t>N/A</w:t>
            </w:r>
          </w:p>
        </w:tc>
        <w:tc>
          <w:tcPr>
            <w:tcW w:w="889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702E3C">
      <w:pPr>
        <w:shd w:val="clear" w:color="auto" w:fill="FFFFFF"/>
        <w:spacing w:after="48" w:line="240" w:lineRule="auto"/>
        <w:textAlignment w:val="baseline"/>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94" w:name="_Toc217040722"/>
      <w:r>
        <w:rPr>
          <w:rFonts w:ascii="Times New Roman" w:eastAsia="Times New Roman" w:hAnsi="Times New Roman" w:cs="Times New Roman"/>
          <w:lang w:eastAsia="hr-HR"/>
        </w:rPr>
        <w:t>Održivo upravljanje prostorom</w:t>
      </w:r>
      <w:bookmarkEnd w:id="94"/>
    </w:p>
    <w:p w:rsidR="00702E3C" w:rsidRDefault="00702E3C">
      <w:pPr>
        <w:shd w:val="clear" w:color="auto" w:fill="FFFFFF"/>
        <w:spacing w:after="0" w:line="240" w:lineRule="auto"/>
        <w:ind w:firstLine="408"/>
        <w:jc w:val="center"/>
        <w:textAlignment w:val="baseline"/>
        <w:rPr>
          <w:rFonts w:ascii="Times New Roman" w:eastAsia="Times New Roman" w:hAnsi="Times New Roman" w:cs="Times New Roman"/>
          <w:kern w:val="0"/>
          <w:sz w:val="20"/>
          <w:szCs w:val="20"/>
          <w:lang w:eastAsia="hr-HR"/>
          <w14:ligatures w14:val="none"/>
        </w:rPr>
      </w:pPr>
    </w:p>
    <w:tbl>
      <w:tblPr>
        <w:tblW w:w="14451" w:type="dxa"/>
        <w:shd w:val="clear" w:color="auto" w:fill="FFFFFF"/>
        <w:tblCellMar>
          <w:left w:w="0" w:type="dxa"/>
          <w:right w:w="0" w:type="dxa"/>
        </w:tblCellMar>
        <w:tblLook w:val="04A0" w:firstRow="1" w:lastRow="0" w:firstColumn="1" w:lastColumn="0" w:noHBand="0" w:noVBand="1"/>
      </w:tblPr>
      <w:tblGrid>
        <w:gridCol w:w="1543"/>
        <w:gridCol w:w="2900"/>
        <w:gridCol w:w="3497"/>
        <w:gridCol w:w="3273"/>
        <w:gridCol w:w="3238"/>
      </w:tblGrid>
      <w:tr w:rsidR="00702E3C">
        <w:tc>
          <w:tcPr>
            <w:tcW w:w="1749" w:type="dxa"/>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702" w:type="dxa"/>
            <w:gridSpan w:val="4"/>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Broj ostvarenih noćenja u smještajnim objektima destinacije po hektaru izrađenog građevinskog područja JLS (OUP-1)</w:t>
            </w:r>
          </w:p>
        </w:tc>
      </w:tr>
      <w:tr w:rsidR="00702E3C">
        <w:tc>
          <w:tcPr>
            <w:tcW w:w="1749" w:type="dxa"/>
            <w:vMerge w:val="restart"/>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34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pokazatelja s međunarodnim sustavima</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UN TOURISM – MST (prilagodba) – Broj posjetitelja po hektaru građevinskog područja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održivo upravljanje prostorom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15 – Očuvanje života na zemlji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E9F6D0" w:themeFill="accent1" w:themeFillTint="33"/>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Strategijom i Nacionalnim planom</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Razvoj vremenski i prostorno ravnomjernije raspoređenog turističkog prometa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Pokazateljem se definira ukupan broj ostvarenih noćenja u smještaju destinacije unutar godine dana po izgrađenom hektaru zona stambene i ugostiteljsko-turističke namjene.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 obzirom da se turistička aktivnost može gotovo isključivo odvijati u zonama stanovanja (S) i zonama mješovite namjene (M1), te u zonama predviđenima za odvijanje ugostiteljsko-turističke namjene (T), sve druge građevinske zone nisu uključene u analizu. Nadalje, pritisak koji proizlazi iz korištenja prostora može se isključivo evidentirati kao pritisak na već izgrađena područja, te stoga u izračun ne ulaze planirana(neizgrađena) područja. U konačnici pritisak bi bilo poželjno evidentirati na godišnjoj razini, ali i na razini tromjesečja, da bi se utvrdilo pritisak u najopterećenijem dijelu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Podpokazatelji (opcionalno)</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Naziv podataka</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noćenja u komercijalnom i nekomercijalnom smještaju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površina izgrađenog dijela zona stambene namjene destinacije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površina izgrađenog dijela zona mješovite namjene pretežito stambene namjene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4. površina izgrađenog dijela zona ugostiteljsko-turističke namjene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noćenje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2., 3., 4. hektar</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eVisitor i porezna uprava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3. i 4. jedinice lokalne samouprave + PPUG/O (prostorni planovi uređenja gradova/ općina)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Podatak je dostupan</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3. i 4.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Podatak je kontinuirano dostupan na godišnjoj razini</w:t>
            </w:r>
          </w:p>
        </w:tc>
      </w:tr>
      <w:tr w:rsidR="00702E3C">
        <w:tc>
          <w:tcPr>
            <w:tcW w:w="524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w:t>
            </w:r>
            <w:r>
              <w:rPr>
                <w:rFonts w:ascii="Times New Roman" w:eastAsia="Times New Roman" w:hAnsi="Times New Roman" w:cs="Times New Roman"/>
                <w:i/>
                <w:iCs/>
                <w:kern w:val="0"/>
                <w:sz w:val="18"/>
                <w:szCs w:val="18"/>
                <w:vertAlign w:val="subscript"/>
                <w:lang w:eastAsia="hr-HR"/>
                <w14:ligatures w14:val="none"/>
              </w:rPr>
              <w:t>N</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broj turističkih noćenja unutar destinacije ostvarenih u jednoj godini</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P</w:t>
            </w:r>
            <w:r>
              <w:rPr>
                <w:rFonts w:ascii="Times New Roman" w:eastAsia="Times New Roman" w:hAnsi="Times New Roman" w:cs="Times New Roman"/>
                <w:i/>
                <w:iCs/>
                <w:kern w:val="0"/>
                <w:sz w:val="18"/>
                <w:szCs w:val="18"/>
                <w:vertAlign w:val="subscript"/>
                <w:lang w:eastAsia="hr-HR"/>
                <w14:ligatures w14:val="none"/>
              </w:rPr>
              <w:t>S</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površina izgrađenog građevinskog zemljišta u zonama stanovanja (ha)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P</w:t>
            </w:r>
            <w:r>
              <w:rPr>
                <w:rFonts w:ascii="Times New Roman" w:eastAsia="Times New Roman" w:hAnsi="Times New Roman" w:cs="Times New Roman"/>
                <w:i/>
                <w:iCs/>
                <w:kern w:val="0"/>
                <w:sz w:val="18"/>
                <w:szCs w:val="18"/>
                <w:vertAlign w:val="subscript"/>
                <w:lang w:eastAsia="hr-HR"/>
                <w14:ligatures w14:val="none"/>
              </w:rPr>
              <w:t>M</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površina izgrađenog građevinskog zemljišta u zonama mješovite namjene ((pretežito stambene namjene) (ha)</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P</w:t>
            </w:r>
            <w:r>
              <w:rPr>
                <w:rFonts w:ascii="Times New Roman" w:eastAsia="Times New Roman" w:hAnsi="Times New Roman" w:cs="Times New Roman"/>
                <w:i/>
                <w:iCs/>
                <w:kern w:val="0"/>
                <w:sz w:val="18"/>
                <w:szCs w:val="18"/>
                <w:vertAlign w:val="subscript"/>
                <w:lang w:eastAsia="hr-HR"/>
                <w14:ligatures w14:val="none"/>
              </w:rPr>
              <w:t>T</w:t>
            </w:r>
            <w:r>
              <w:rPr>
                <w:rFonts w:ascii="Times New Roman" w:eastAsia="Times New Roman" w:hAnsi="Times New Roman" w:cs="Times New Roman"/>
                <w:i/>
                <w:iCs/>
                <w:kern w:val="0"/>
                <w:sz w:val="18"/>
                <w:szCs w:val="18"/>
                <w:lang w:eastAsia="hr-HR"/>
                <w14:ligatures w14:val="none"/>
              </w:rPr>
              <w:t> – </w:t>
            </w:r>
            <w:r>
              <w:rPr>
                <w:rFonts w:ascii="Times New Roman" w:eastAsia="Times New Roman" w:hAnsi="Times New Roman" w:cs="Times New Roman"/>
                <w:kern w:val="0"/>
                <w:sz w:val="18"/>
                <w:szCs w:val="18"/>
                <w:lang w:eastAsia="hr-HR"/>
                <w14:ligatures w14:val="none"/>
              </w:rPr>
              <w:t>površina izgrađenog građevinskog zemljišta u zonama predviđenim za odvijanje ugostiteljsko-turističke aktivnosti</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broj turističkih noćenja u komercijalnom inekomercijalnom smještaju po izgrađenoj građevinskoj površini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T</m:t>
                        </m:r>
                      </m:e>
                      <m:sub>
                        <m:r>
                          <w:rPr>
                            <w:rFonts w:ascii="Cambria Math" w:eastAsia="Times New Roman" w:hAnsi="Cambria Math" w:cs="Times New Roman"/>
                            <w:kern w:val="0"/>
                            <w:sz w:val="20"/>
                            <w:szCs w:val="20"/>
                            <w:lang w:eastAsia="hr-HR"/>
                            <w14:ligatures w14:val="none"/>
                          </w:rPr>
                          <m:t>N</m:t>
                        </m:r>
                      </m:sub>
                    </m:sSub>
                  </m:num>
                  <m:den>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P</m:t>
                        </m:r>
                      </m:e>
                      <m:sub>
                        <m:r>
                          <w:rPr>
                            <w:rFonts w:ascii="Cambria Math" w:eastAsia="Times New Roman" w:hAnsi="Cambria Math" w:cs="Times New Roman"/>
                            <w:kern w:val="0"/>
                            <w:sz w:val="20"/>
                            <w:szCs w:val="20"/>
                            <w:lang w:eastAsia="hr-HR"/>
                            <w14:ligatures w14:val="none"/>
                          </w:rPr>
                          <m:t xml:space="preserve">S  </m:t>
                        </m:r>
                      </m:sub>
                    </m:sSub>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 P</m:t>
                        </m:r>
                      </m:e>
                      <m:sub>
                        <m:r>
                          <w:rPr>
                            <w:rFonts w:ascii="Cambria Math" w:eastAsia="Times New Roman" w:hAnsi="Cambria Math" w:cs="Times New Roman"/>
                            <w:kern w:val="0"/>
                            <w:sz w:val="20"/>
                            <w:szCs w:val="20"/>
                            <w:lang w:eastAsia="hr-HR"/>
                            <w14:ligatures w14:val="none"/>
                          </w:rPr>
                          <m:t>M</m:t>
                        </m:r>
                      </m:sub>
                    </m:sSub>
                    <m:r>
                      <w:rPr>
                        <w:rFonts w:ascii="Cambria Math" w:eastAsia="Times New Roman" w:hAnsi="Cambria Math" w:cs="Times New Roman"/>
                        <w:kern w:val="0"/>
                        <w:sz w:val="20"/>
                        <w:szCs w:val="20"/>
                        <w:lang w:eastAsia="hr-HR"/>
                        <w14:ligatures w14:val="none"/>
                      </w:rPr>
                      <m:t>+</m:t>
                    </m:r>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P</m:t>
                        </m:r>
                      </m:e>
                      <m:sub>
                        <m:r>
                          <w:rPr>
                            <w:rFonts w:ascii="Cambria Math" w:eastAsia="Times New Roman" w:hAnsi="Cambria Math" w:cs="Times New Roman"/>
                            <w:kern w:val="0"/>
                            <w:sz w:val="20"/>
                            <w:szCs w:val="20"/>
                            <w:lang w:eastAsia="hr-HR"/>
                            <w14:ligatures w14:val="none"/>
                          </w:rPr>
                          <m:t>T</m:t>
                        </m:r>
                      </m:sub>
                    </m:sSub>
                  </m:den>
                </m:f>
              </m:oMath>
            </m:oMathPara>
          </w:p>
          <w:p w:rsidR="00702E3C" w:rsidRDefault="00702E3C">
            <w:pPr>
              <w:spacing w:after="0" w:line="240" w:lineRule="auto"/>
              <w:jc w:val="center"/>
              <w:textAlignment w:val="baseline"/>
              <w:rPr>
                <w:rFonts w:ascii="Times New Roman" w:eastAsia="Times New Roman" w:hAnsi="Times New Roman" w:cs="Times New Roman"/>
                <w:kern w:val="0"/>
                <w:sz w:val="18"/>
                <w:szCs w:val="18"/>
                <w:lang w:eastAsia="hr-HR"/>
                <w14:ligatures w14:val="none"/>
              </w:rPr>
            </w:pPr>
          </w:p>
        </w:tc>
      </w:tr>
      <w:tr w:rsidR="00702E3C">
        <w:tc>
          <w:tcPr>
            <w:tcW w:w="524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dvije godine</w:t>
            </w:r>
          </w:p>
        </w:tc>
      </w:tr>
      <w:tr w:rsidR="00702E3C">
        <w:tc>
          <w:tcPr>
            <w:tcW w:w="5242" w:type="dxa"/>
            <w:gridSpan w:val="2"/>
            <w:tcBorders>
              <w:top w:val="single" w:sz="6" w:space="0" w:color="auto"/>
              <w:left w:val="single" w:sz="6" w:space="0" w:color="auto"/>
              <w:bottom w:val="single" w:sz="6" w:space="0" w:color="auto"/>
              <w:right w:val="single" w:sz="6" w:space="0" w:color="auto"/>
            </w:tcBorders>
            <w:shd w:val="clear" w:color="auto" w:fill="C1E4F5"/>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306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307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2031</w:t>
            </w:r>
          </w:p>
        </w:tc>
      </w:tr>
      <w:tr w:rsidR="00702E3C">
        <w:tc>
          <w:tcPr>
            <w:tcW w:w="524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val="en-US" w:eastAsia="hr-HR"/>
                <w14:ligatures w14:val="none"/>
              </w:rPr>
            </w:pPr>
            <w:r>
              <w:rPr>
                <w:rFonts w:ascii="Times New Roman" w:eastAsia="Times New Roman" w:hAnsi="Times New Roman" w:cs="Times New Roman"/>
                <w:b/>
                <w:bCs/>
                <w:kern w:val="0"/>
                <w:sz w:val="18"/>
                <w:szCs w:val="18"/>
                <w:lang w:val="en-US" w:eastAsia="hr-HR"/>
                <w14:ligatures w14:val="none"/>
              </w:rPr>
              <w:t>831,77</w:t>
            </w:r>
          </w:p>
        </w:tc>
        <w:tc>
          <w:tcPr>
            <w:tcW w:w="920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702E3C">
      <w:pPr>
        <w:shd w:val="clear" w:color="auto" w:fill="FFFFFF"/>
        <w:spacing w:after="48" w:line="240" w:lineRule="auto"/>
        <w:textAlignment w:val="baseline"/>
        <w:rPr>
          <w:rFonts w:ascii="Times New Roman" w:eastAsia="Times New Roman" w:hAnsi="Times New Roman" w:cs="Times New Roman"/>
          <w:kern w:val="0"/>
          <w:sz w:val="24"/>
          <w:szCs w:val="24"/>
          <w:lang w:eastAsia="hr-HR"/>
          <w14:ligatures w14:val="none"/>
        </w:rPr>
      </w:pPr>
    </w:p>
    <w:p w:rsidR="00702E3C" w:rsidRDefault="00702E3C">
      <w:pPr>
        <w:pStyle w:val="Odlomakpopisa"/>
        <w:shd w:val="clear" w:color="auto" w:fill="FFFFFF"/>
        <w:spacing w:before="204" w:after="72" w:line="240" w:lineRule="auto"/>
        <w:ind w:left="360"/>
        <w:textAlignment w:val="baseline"/>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pStyle w:val="Naslov1"/>
        <w:numPr>
          <w:ilvl w:val="0"/>
          <w:numId w:val="23"/>
        </w:numPr>
        <w:rPr>
          <w:rFonts w:ascii="Times New Roman" w:eastAsia="Times New Roman" w:hAnsi="Times New Roman" w:cs="Times New Roman"/>
          <w:b/>
          <w:bCs/>
          <w:lang w:eastAsia="hr-HR"/>
        </w:rPr>
      </w:pPr>
      <w:bookmarkStart w:id="95" w:name="_Toc217040723"/>
      <w:r>
        <w:rPr>
          <w:rFonts w:ascii="Times New Roman" w:eastAsia="Times New Roman" w:hAnsi="Times New Roman" w:cs="Times New Roman"/>
          <w:b/>
          <w:bCs/>
          <w:lang w:eastAsia="hr-HR"/>
        </w:rPr>
        <w:lastRenderedPageBreak/>
        <w:t>SPECIFIČNI POKAZATELJI ODRŽIVOSTI KOJI MJERE UTJECAJ TURIZMA NA DRUŠTVENE ASPEKTE ODRŽIVOSTI</w:t>
      </w:r>
      <w:bookmarkEnd w:id="95"/>
    </w:p>
    <w:p w:rsidR="00702E3C" w:rsidRDefault="004B1C83">
      <w:pPr>
        <w:pStyle w:val="Naslov2"/>
        <w:numPr>
          <w:ilvl w:val="1"/>
          <w:numId w:val="23"/>
        </w:numPr>
        <w:rPr>
          <w:rFonts w:ascii="Times New Roman" w:eastAsia="Times New Roman" w:hAnsi="Times New Roman" w:cs="Times New Roman"/>
          <w:lang w:eastAsia="hr-HR"/>
        </w:rPr>
      </w:pPr>
      <w:bookmarkStart w:id="96" w:name="_Toc217040724"/>
      <w:r>
        <w:rPr>
          <w:rFonts w:ascii="Times New Roman" w:eastAsia="Times New Roman" w:hAnsi="Times New Roman" w:cs="Times New Roman"/>
          <w:lang w:eastAsia="hr-HR"/>
        </w:rPr>
        <w:t>Zadovoljstvo lokalnog stanovništva turizmom</w:t>
      </w:r>
      <w:bookmarkEnd w:id="96"/>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309" w:type="dxa"/>
        <w:shd w:val="clear" w:color="auto" w:fill="FFFFFF"/>
        <w:tblCellMar>
          <w:left w:w="0" w:type="dxa"/>
          <w:right w:w="0" w:type="dxa"/>
        </w:tblCellMar>
        <w:tblLook w:val="04A0" w:firstRow="1" w:lastRow="0" w:firstColumn="1" w:lastColumn="0" w:noHBand="0" w:noVBand="1"/>
      </w:tblPr>
      <w:tblGrid>
        <w:gridCol w:w="2016"/>
        <w:gridCol w:w="4129"/>
        <w:gridCol w:w="2724"/>
        <w:gridCol w:w="2720"/>
        <w:gridCol w:w="2720"/>
      </w:tblGrid>
      <w:tr w:rsidR="00702E3C">
        <w:tc>
          <w:tcPr>
            <w:tcW w:w="200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304"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Utjecaj turizma na kvalitetu života lokalnog stanovništva (SZ</w:t>
            </w:r>
            <w:r w:rsidR="0063370A">
              <w:rPr>
                <w:rFonts w:ascii="Times New Roman" w:eastAsia="Times New Roman" w:hAnsi="Times New Roman" w:cs="Times New Roman"/>
                <w:b/>
                <w:bCs/>
                <w:kern w:val="0"/>
                <w:sz w:val="20"/>
                <w:szCs w:val="20"/>
                <w:lang w:eastAsia="hr-HR"/>
                <w14:ligatures w14:val="none"/>
              </w:rPr>
              <w:t>L</w:t>
            </w:r>
            <w:r>
              <w:rPr>
                <w:rFonts w:ascii="Times New Roman" w:eastAsia="Times New Roman" w:hAnsi="Times New Roman" w:cs="Times New Roman"/>
                <w:b/>
                <w:bCs/>
                <w:kern w:val="0"/>
                <w:sz w:val="20"/>
                <w:szCs w:val="20"/>
                <w:lang w:eastAsia="hr-HR"/>
                <w14:ligatures w14:val="none"/>
              </w:rPr>
              <w:t xml:space="preserve"> – 1)</w:t>
            </w:r>
          </w:p>
        </w:tc>
      </w:tr>
      <w:tr w:rsidR="00702E3C">
        <w:tc>
          <w:tcPr>
            <w:tcW w:w="200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Utjecaj turizma na kvalitetu života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Percepcija o negativnom i pozitivnom doprinosu turizma dobrobiti lokalnog stanovništva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OECD: Indeks boljeg života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zadovoljstvo lokalnog stanovništva turizmom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gospodarski rast, puna zaposlenost i dostojanstven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9 – Prilagodljiva infrastruktura, uključiva i održiva industrijalizacija i inovativnost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Razvoj vremenski i prostorno ravnomjernije raspoređenog turističkog prometa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predstavlja procjenu udjela (%) stalnih stanovnika koji pozitivno percipiraju utjecaj turizma na kvalitetu života u destinaciji u ukupnom broju stalnih stanovnika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 turistički razvijenim destinacijama turizam je važan faktor u kvaliteti života lokalnog stanovništva. Održivim upravljanjem učincima turizma, koji se između ostalog mogu ogledati u ekonomskim, društvenim, okolišnim i infrastrukturnim promjenama, moguće je održati i unaprijediti kvalitetu života uslijed intenzivnog turističkog razvoja. Bolja percepcija utjecaja turizma na kvalitetu života u destinaciji može doprinijeti i većoj podršci turističkom razvoju, dok pogoršanje percepcije signalizira potrebu pravodobnih prilagodbi u upravljanju turističkim razvojem kako bi se osigurala njegova održivost.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lokalnih stanovnika s pozitivnom percepcijom utjecaja turizma na kvalitetu života u destinaciji kod onih koji ostvaruju koristi od turizma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lokalnih stanovnika s pozitivnom percepcijom utjecaja turizma na kvalitetu života u destinaciji kod onih koji ne ostvaruju koristi od turizma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Zadovoljstvo životom u destinaciji u sezoni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Zadovoljstvo životom u destinaciji u vansezonskom razdoblju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Percepcija utjecaja turizma na kvalitetu života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Zadovoljstvo životom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Udio (%) ispitanika s pozitivnom percepcijom utjecaja turizma na kvalitetu života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Udio (%) ispitanika koji su zadovoljni životom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Anketa lokalnog stanovništva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Svake četiri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Dva puta u jednoj godini (u sezoni i izvan visoke sezone), svake dvije godine</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90C226" w:themeFill="accent1"/>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Percepcija utjecaja turizma na kvalitetu života u destinaciji procjenjuje se pitanjima koja su definirana smjernicama za provođenje primarnih istraživanja.</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Svake dvije godine </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F1A399" w:themeFill="accent5"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20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poskupljuje i produžuje proces.</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CEDADF" w:themeFill="tex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73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3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73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70,13%</w:t>
            </w:r>
          </w:p>
        </w:tc>
        <w:tc>
          <w:tcPr>
            <w:tcW w:w="273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73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73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309" w:type="dxa"/>
        <w:shd w:val="clear" w:color="auto" w:fill="FFFFFF"/>
        <w:tblCellMar>
          <w:left w:w="0" w:type="dxa"/>
          <w:right w:w="0" w:type="dxa"/>
        </w:tblCellMar>
        <w:tblLook w:val="04A0" w:firstRow="1" w:lastRow="0" w:firstColumn="1" w:lastColumn="0" w:noHBand="0" w:noVBand="1"/>
      </w:tblPr>
      <w:tblGrid>
        <w:gridCol w:w="1913"/>
        <w:gridCol w:w="4307"/>
        <w:gridCol w:w="2696"/>
        <w:gridCol w:w="2696"/>
        <w:gridCol w:w="2697"/>
      </w:tblGrid>
      <w:tr w:rsidR="00702E3C">
        <w:tc>
          <w:tcPr>
            <w:tcW w:w="191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Pokazatelj (kod pokazatelja)</w:t>
            </w:r>
          </w:p>
        </w:tc>
        <w:tc>
          <w:tcPr>
            <w:tcW w:w="12396"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Udio stanovnika koji imaju pozitivno odnosno negativno mišljenje o utjecaju turizma na identitet mjesta (SZL-3)</w:t>
            </w:r>
          </w:p>
        </w:tc>
      </w:tr>
      <w:tr w:rsidR="00702E3C">
        <w:tc>
          <w:tcPr>
            <w:tcW w:w="191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30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 xml:space="preserve">pokazatelja s </w:t>
            </w:r>
            <w:r>
              <w:rPr>
                <w:rFonts w:ascii="Times New Roman" w:eastAsia="Times New Roman" w:hAnsi="Times New Roman" w:cs="Times New Roman"/>
                <w:kern w:val="0"/>
                <w:sz w:val="20"/>
                <w:szCs w:val="20"/>
                <w:lang w:eastAsia="hr-HR"/>
                <w14:ligatures w14:val="none"/>
              </w:rPr>
              <w:softHyphen/>
              <w:t>međunarodnim sustavima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ETIS: Pokazatelj C.5.1. Postotak stanovnika koji su zadovoljni utjecajem turizma na identitet odredišta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UN TOURISM – MST: Percepcija učinaka turizma na kulturni identitet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zadovoljstvo lokalnog stanovništva turizmom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SDG</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Otporan turizam;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Posebni cilj: 3. Smanjenje negativnog utjecaja turizma na sastavnice okoliša, prirodu i prostor;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predstavlja procjenu udjela (%) stalnih stanovnika koji imaju pozitivno odnosno negativno mišljenje o utjecaju turizma na identitet mjesta u ukupnom broju stalnih stanovnika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 i svrha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Percepcija učinaka turizma i stavovi koje lokalna zajednica ima prema turističkom razvoju usko su povezani s percepcijom identiteta mjesta. Promjene uslijed intenzivnog turističkog razvoja mogu uzrokovati gubitak autentičnosti mjesta i narušiti njegov kulturni identitet. Degradacija identiteta mjesta pridonosi negativnim reakcijama prema turistima i može smanjiti zadovoljstvo životom u mjestu. Identitet mjesta ujedno je i bitan faktor u privlačenju posjetitelja, koji sve češće traže autentično iskustvo i doživljaj lokalne kulture. S druge strane, interakcija s posjetiteljima može imati i pozitivan učinak na identitet mjesta, jačanjem društvene identifikacije kroz veću percepciju posebnosti unutar lokalne zajednice ili povećanu svijest o baštini.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Udio (%) stanovnika koji imaju pozitivno odnosno negativno mišljenje o utjecaju turizma na identitet mjesta kod onih koji ostvaruju koristi od turizma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Udio (%) stanovnika koji imaju pozitivno odnosno negativno mišljenje o utjecaju turizma na identitet mjesta kod onih koji ne ostvaruju koristi od turizma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Udio (%) stanovnika koji imaju pozitivno odnosno negativno mišljenje o utjecaju turizma na identitet mjesta prema socio-demografskim pokazateljima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Percepcija utjecaja turizma na autentičnost mjesta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Percepcija utjecaja turizma na očuvanje tradicije, običaja i kulture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Udio ispitanika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Anketa lokalnog stanovništva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Jednom godišnje</w:t>
            </w:r>
          </w:p>
        </w:tc>
      </w:tr>
      <w:tr w:rsidR="00702E3C">
        <w:tc>
          <w:tcPr>
            <w:tcW w:w="6220"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Metodologija izračuna pokazatelja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Udio stanovnika koji imaju pozitivno odnosno negativno mišljenje o utjecaju turizma na identitet mjesta procjenjuje se pitanjima koja su definirana smjernicama za provođenje primarnih istraživanja.</w:t>
            </w:r>
          </w:p>
        </w:tc>
      </w:tr>
      <w:tr w:rsidR="00702E3C">
        <w:tc>
          <w:tcPr>
            <w:tcW w:w="6220"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Svake dvije godine </w:t>
            </w:r>
          </w:p>
        </w:tc>
      </w:tr>
      <w:tr w:rsidR="00702E3C">
        <w:tc>
          <w:tcPr>
            <w:tcW w:w="6220" w:type="dxa"/>
            <w:gridSpan w:val="2"/>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Ograničenja pokazatelja i perspektive</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Nužna je provedba primarnog istraživanja – poskupljuje i produžuje proces.</w:t>
            </w:r>
          </w:p>
        </w:tc>
      </w:tr>
      <w:tr w:rsidR="00702E3C">
        <w:tc>
          <w:tcPr>
            <w:tcW w:w="622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269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269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269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2031</w:t>
            </w:r>
          </w:p>
        </w:tc>
      </w:tr>
      <w:tr w:rsidR="00702E3C">
        <w:tc>
          <w:tcPr>
            <w:tcW w:w="622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Pozitivno 48,05%</w:t>
            </w:r>
          </w:p>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Negativno 22,73%</w:t>
            </w:r>
          </w:p>
        </w:tc>
        <w:tc>
          <w:tcPr>
            <w:tcW w:w="808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309" w:type="dxa"/>
        <w:shd w:val="clear" w:color="auto" w:fill="FFFFFF"/>
        <w:tblCellMar>
          <w:left w:w="0" w:type="dxa"/>
          <w:right w:w="0" w:type="dxa"/>
        </w:tblCellMar>
        <w:tblLook w:val="04A0" w:firstRow="1" w:lastRow="0" w:firstColumn="1" w:lastColumn="0" w:noHBand="0" w:noVBand="1"/>
      </w:tblPr>
      <w:tblGrid>
        <w:gridCol w:w="2018"/>
        <w:gridCol w:w="4136"/>
        <w:gridCol w:w="2726"/>
        <w:gridCol w:w="2716"/>
        <w:gridCol w:w="2713"/>
      </w:tblGrid>
      <w:tr w:rsidR="00702E3C">
        <w:tc>
          <w:tcPr>
            <w:tcW w:w="201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296"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textAlignment w:val="baseline"/>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stanovnika pod umjerenim ili visokim stresom od turizma (SZL – 4)</w:t>
            </w:r>
          </w:p>
        </w:tc>
      </w:tr>
      <w:tr w:rsidR="00702E3C">
        <w:tc>
          <w:tcPr>
            <w:tcW w:w="2013" w:type="dxa"/>
            <w:vMerge w:val="restart"/>
            <w:tcBorders>
              <w:top w:val="single" w:sz="6" w:space="0" w:color="auto"/>
              <w:left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2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Znanstvena istraživanja: Jordan, E. J., Spencer, D. M., &amp; Prayag. G. (2019). Tourism impacts, emotions and stress. </w:t>
            </w:r>
            <w:r>
              <w:rPr>
                <w:rFonts w:ascii="Times New Roman" w:eastAsia="Times New Roman" w:hAnsi="Times New Roman" w:cs="Times New Roman"/>
                <w:i/>
                <w:iCs/>
                <w:kern w:val="0"/>
                <w:sz w:val="20"/>
                <w:szCs w:val="20"/>
                <w:lang w:eastAsia="hr-HR"/>
                <w14:ligatures w14:val="none"/>
              </w:rPr>
              <w:t>Annals of Tourism Research, </w:t>
            </w:r>
            <w:r>
              <w:rPr>
                <w:rFonts w:ascii="Times New Roman" w:eastAsia="Times New Roman" w:hAnsi="Times New Roman" w:cs="Times New Roman"/>
                <w:kern w:val="0"/>
                <w:sz w:val="20"/>
                <w:szCs w:val="20"/>
                <w:lang w:eastAsia="hr-HR"/>
                <w14:ligatures w14:val="none"/>
              </w:rPr>
              <w:t>75, 213-226.</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Gossling, S., McCabe, S., &amp; Chen N. C. (2020). A socio-psychological conceptualisation of overtourism. </w:t>
            </w:r>
            <w:r>
              <w:rPr>
                <w:rFonts w:ascii="Times New Roman" w:eastAsia="Times New Roman" w:hAnsi="Times New Roman" w:cs="Times New Roman"/>
                <w:i/>
                <w:iCs/>
                <w:kern w:val="0"/>
                <w:sz w:val="20"/>
                <w:szCs w:val="20"/>
                <w:lang w:eastAsia="hr-HR"/>
                <w14:ligatures w14:val="none"/>
              </w:rPr>
              <w:t>Annals of Tourism Research, </w:t>
            </w:r>
            <w:r>
              <w:rPr>
                <w:rFonts w:ascii="Times New Roman" w:eastAsia="Times New Roman" w:hAnsi="Times New Roman" w:cs="Times New Roman"/>
                <w:kern w:val="0"/>
                <w:sz w:val="20"/>
                <w:szCs w:val="20"/>
                <w:lang w:eastAsia="hr-HR"/>
                <w14:ligatures w14:val="none"/>
              </w:rPr>
              <w:t>84, 102976.</w:t>
            </w:r>
          </w:p>
        </w:tc>
      </w:tr>
      <w:tr w:rsidR="00702E3C">
        <w:tc>
          <w:tcPr>
            <w:tcW w:w="0" w:type="auto"/>
            <w:vMerge/>
            <w:tcBorders>
              <w:left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zadovoljstvo lokalnog stanovništva turizmom</w:t>
            </w:r>
          </w:p>
        </w:tc>
      </w:tr>
      <w:tr w:rsidR="00702E3C">
        <w:tc>
          <w:tcPr>
            <w:tcW w:w="0" w:type="auto"/>
            <w:vMerge/>
            <w:tcBorders>
              <w:left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tc>
      </w:tr>
      <w:tr w:rsidR="00702E3C">
        <w:tc>
          <w:tcPr>
            <w:tcW w:w="0" w:type="auto"/>
            <w:vMerge/>
            <w:tcBorders>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 Uspostavljanje učinkovitog okvira za upravljanje razvojem održivog turizma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predstavlja procjenu udjela (%) stalnih stanovnika koji su pod umjerenim ili visokim stresom od turizma u ukupnom broju stalnih stanovnika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Emocije i stres važni su elementi psihološkog blagostanja pojedinca pa time utječu i na kvalitetu života. Turizam može imati značajan utjecaj na emocije i stres koje doživljavaju lokalni stanovnici. Praćenje psiholoških ishoda turističkog razvoja bitan je element održivog upravljanja destinacijom, posebice u kontekstu prekomjernog turizma. Ignoriranje stresa kojeg turizam izaziva kod lokalnog stanovništva može smanjiti podršku turističkom razvoju u dugom roku i uzrokovati negativne posljedice po ljudsko zdravlje.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 stanovnika pod umjerenim ili visokim stresom od turizma kod onih koji ostvaruju koristi od turizma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 stanovnika pod umjerenim ili visokim stresom od turizma kod onih koji ne ostvaruju koristi od turizma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 stanovnika pod umjerenim ili visokim stresom od turizma prema socio-demografskim pokazateljima spol, dob, udaljenost prebivališta pojedinca od glavnih turističkih zona/atrakcija, uključenost u turističko gospodarstvo</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Percepcija stresa uzrokovanog turizmom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 ispitanika pod visokom/umjerenom/niskom razinom stresa od turizma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Anketa lokalnog stanovništva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 – tijekom turističke sezone (u kolovozu ili rujnu)</w:t>
            </w:r>
          </w:p>
        </w:tc>
      </w:tr>
      <w:tr w:rsidR="00702E3C">
        <w:tc>
          <w:tcPr>
            <w:tcW w:w="6137"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Procjena utjecaja turizma na razinu stresa kod lokalnog stanovništva provodi se pomoću standardiziranog upitnika subjektivne percepcije stresa (eng. Perceived Stress Scale, PSS) prilagođenog ispitivanju utjecaja turizma definiranim u smjernicama za provođenje primarnih istraživanja.</w:t>
            </w:r>
          </w:p>
        </w:tc>
      </w:tr>
      <w:tr w:rsidR="00702E3C">
        <w:tc>
          <w:tcPr>
            <w:tcW w:w="6137"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Svake dvije godine </w:t>
            </w:r>
          </w:p>
        </w:tc>
      </w:tr>
      <w:tr w:rsidR="00702E3C">
        <w:tc>
          <w:tcPr>
            <w:tcW w:w="6137" w:type="dxa"/>
            <w:gridSpan w:val="2"/>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17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poskupljuje i produžuje proces.</w:t>
            </w:r>
          </w:p>
        </w:tc>
      </w:tr>
      <w:tr w:rsidR="00702E3C">
        <w:tc>
          <w:tcPr>
            <w:tcW w:w="613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73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71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3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1F6B4B">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Niska razina = 57,18%</w:t>
            </w:r>
          </w:p>
          <w:p w:rsidR="001F6B4B" w:rsidRDefault="001F6B4B">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Umjerena razina = 22,68%</w:t>
            </w:r>
          </w:p>
          <w:p w:rsidR="001F6B4B" w:rsidRDefault="001F6B4B">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Visoka razina = 20,14%</w:t>
            </w:r>
          </w:p>
        </w:tc>
        <w:tc>
          <w:tcPr>
            <w:tcW w:w="273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71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r>
    </w:tbl>
    <w:p w:rsidR="00702E3C" w:rsidRDefault="00702E3C">
      <w:pPr>
        <w:shd w:val="clear" w:color="auto" w:fill="FFFFFF"/>
        <w:spacing w:after="0" w:line="240" w:lineRule="auto"/>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2018"/>
        <w:gridCol w:w="4137"/>
        <w:gridCol w:w="2624"/>
        <w:gridCol w:w="2623"/>
        <w:gridCol w:w="2624"/>
      </w:tblGrid>
      <w:tr w:rsidR="00702E3C">
        <w:tc>
          <w:tcPr>
            <w:tcW w:w="201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11"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Promjena broja stanovnika u zadnjih pet godina u odnosu na promjenu broja turističkih noćenja (SZL – 5)</w:t>
            </w:r>
          </w:p>
        </w:tc>
      </w:tr>
      <w:tr w:rsidR="00702E3C">
        <w:tc>
          <w:tcPr>
            <w:tcW w:w="201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Demografski trendovi i kvaliteta života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Promjena broja stanovnika uvjetovana prirodnim kretanjima i migracijama prema promjeni turističke aktivnosti mjerene brojem noćenja u smještajnim kapacitetima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praćenje relativnog odnosa broja stanovnika i turističke aktivnosti u petogodišnjem razdoblju.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izračunava kao dvojni razlomak.</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Djeljenik dvojnog razlomka je razlomak u čijem je brojniku procjena broja stanovnika na 31.12. u godini t (prethodna godina), a nazivniku procjena broja stanovnika 31. 12. u godini t-4</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Djelitelj dvojnog razlomka je razlomak u čijem je brojniku broj ostvarenih noćenja u smještajnim kapacitetima u godini t (prethodna godina), a nazivniku broj ostvarenih noćenja smještajnim u kapacitetima u godini t-4</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Stanovništvo – procjena i prirodno kretanje, Procjena stanovništva, stanje na dan 31. prosinca u godini t (prethodna godina) i godini t-4</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2. Turizam, noćenja turista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Realni broj</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Državni zavod za statistiku: </w:t>
            </w:r>
            <w:r>
              <w:rPr>
                <w:rFonts w:ascii="Times New Roman" w:eastAsia="Times New Roman" w:hAnsi="Times New Roman" w:cs="Times New Roman"/>
                <w:i/>
                <w:iCs/>
                <w:kern w:val="0"/>
                <w:sz w:val="20"/>
                <w:szCs w:val="20"/>
                <w:lang w:eastAsia="hr-HR"/>
                <w14:ligatures w14:val="none"/>
              </w:rPr>
              <w:t>Statistika u nizu, Gradovi i općine u statistici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eVisitor</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su dostupni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kontinuirano dostupan</w:t>
            </w:r>
          </w:p>
        </w:tc>
      </w:tr>
      <w:tr w:rsidR="00702E3C">
        <w:tc>
          <w:tcPr>
            <w:tcW w:w="6144"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se preuzimaju iz službenih administrativnih izvora</w:t>
            </w:r>
          </w:p>
        </w:tc>
      </w:tr>
      <w:tr w:rsidR="00702E3C">
        <w:tc>
          <w:tcPr>
            <w:tcW w:w="6144"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44" w:type="dxa"/>
            <w:gridSpan w:val="2"/>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788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osiguravaju potrebne podatke za izračun, a ograničenje je vezano uz sadržaj pokazatelja koji tek neizravno ukazuje na povećanje/smanjenje društvenog standarda odnosno demografske trendove generirane turizmom budući da rast ili smanjenje broja stanovnika na području destinacije može biti potaknuto bitno širim spektrom utjecaja od turističke aktivnosti.</w:t>
            </w:r>
          </w:p>
        </w:tc>
      </w:tr>
      <w:tr w:rsidR="00702E3C">
        <w:tc>
          <w:tcPr>
            <w:tcW w:w="6144"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62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4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ind w:firstLineChars="1200" w:firstLine="2409"/>
              <w:jc w:val="right"/>
              <w:rPr>
                <w:rFonts w:ascii="Times New Roman" w:eastAsia="Times New Roman" w:hAnsi="Times New Roman" w:cs="Times New Roman"/>
                <w:kern w:val="0"/>
                <w:sz w:val="20"/>
                <w:szCs w:val="20"/>
                <w:highlight w:val="yellow"/>
                <w:u w:val="single"/>
                <w:lang w:val="en-US" w:eastAsia="hr-HR"/>
                <w14:ligatures w14:val="none"/>
              </w:rPr>
            </w:pPr>
            <w:r>
              <w:rPr>
                <w:rFonts w:ascii="Times New Roman" w:eastAsia="Times New Roman" w:hAnsi="Times New Roman" w:cs="Times New Roman"/>
                <w:b/>
                <w:bCs/>
                <w:kern w:val="0"/>
                <w:sz w:val="20"/>
                <w:szCs w:val="20"/>
                <w:highlight w:val="yellow"/>
                <w:u w:val="single"/>
                <w:lang w:val="en-US" w:eastAsia="hr-HR"/>
                <w14:ligatures w14:val="none"/>
              </w:rPr>
              <w:t>2019.          2024.</w:t>
            </w:r>
          </w:p>
          <w:p w:rsidR="00702E3C" w:rsidRDefault="004B1C83">
            <w:pPr>
              <w:spacing w:after="0" w:line="240" w:lineRule="auto"/>
              <w:jc w:val="right"/>
              <w:rPr>
                <w:rFonts w:ascii="Times New Roman" w:eastAsia="Times New Roman" w:hAnsi="Times New Roman" w:cs="Times New Roman"/>
                <w:kern w:val="0"/>
                <w:sz w:val="20"/>
                <w:szCs w:val="20"/>
                <w:highlight w:val="yellow"/>
                <w:u w:val="single"/>
                <w:lang w:val="en-US" w:eastAsia="hr-HR"/>
                <w14:ligatures w14:val="none"/>
              </w:rPr>
            </w:pPr>
            <w:r>
              <w:rPr>
                <w:rFonts w:ascii="Times New Roman" w:eastAsia="Times New Roman" w:hAnsi="Times New Roman" w:cs="Times New Roman"/>
                <w:kern w:val="0"/>
                <w:sz w:val="20"/>
                <w:szCs w:val="20"/>
                <w:highlight w:val="yellow"/>
                <w:u w:val="single"/>
                <w:lang w:val="en-US" w:eastAsia="hr-HR"/>
                <w14:ligatures w14:val="none"/>
              </w:rPr>
              <w:t>Broj stanovnika                    1698             1746</w:t>
            </w:r>
          </w:p>
          <w:p w:rsidR="00702E3C" w:rsidRDefault="004B1C83">
            <w:pPr>
              <w:spacing w:after="0" w:line="240" w:lineRule="auto"/>
              <w:jc w:val="right"/>
              <w:rPr>
                <w:rFonts w:ascii="Times New Roman" w:eastAsia="Times New Roman" w:hAnsi="Times New Roman" w:cs="Times New Roman"/>
                <w:kern w:val="0"/>
                <w:sz w:val="20"/>
                <w:szCs w:val="20"/>
                <w:highlight w:val="yellow"/>
                <w:u w:val="single"/>
                <w:lang w:val="en-US" w:eastAsia="hr-HR"/>
                <w14:ligatures w14:val="none"/>
              </w:rPr>
            </w:pPr>
            <w:r>
              <w:rPr>
                <w:rFonts w:ascii="Times New Roman" w:eastAsia="Times New Roman" w:hAnsi="Times New Roman" w:cs="Times New Roman"/>
                <w:kern w:val="0"/>
                <w:sz w:val="20"/>
                <w:szCs w:val="20"/>
                <w:highlight w:val="yellow"/>
                <w:u w:val="single"/>
                <w:lang w:val="en-US" w:eastAsia="hr-HR"/>
                <w14:ligatures w14:val="none"/>
              </w:rPr>
              <w:t>Broj noćenja                    178.277        182.989</w:t>
            </w:r>
          </w:p>
          <w:p w:rsidR="00702E3C" w:rsidRDefault="004B1C83">
            <w:pPr>
              <w:spacing w:after="0" w:line="240" w:lineRule="auto"/>
              <w:jc w:val="right"/>
              <w:rPr>
                <w:rFonts w:ascii="Times New Roman" w:eastAsia="Times New Roman" w:hAnsi="Times New Roman" w:cs="Times New Roman"/>
                <w:kern w:val="0"/>
                <w:sz w:val="20"/>
                <w:szCs w:val="20"/>
                <w:highlight w:val="yellow"/>
                <w:u w:val="single"/>
                <w:lang w:val="en-US" w:eastAsia="hr-HR"/>
                <w14:ligatures w14:val="none"/>
              </w:rPr>
            </w:pPr>
            <w:r>
              <w:rPr>
                <w:rFonts w:ascii="Times New Roman" w:eastAsia="Times New Roman" w:hAnsi="Times New Roman" w:cs="Times New Roman"/>
                <w:kern w:val="0"/>
                <w:sz w:val="20"/>
                <w:szCs w:val="20"/>
                <w:highlight w:val="yellow"/>
                <w:u w:val="single"/>
                <w:lang w:val="en-US" w:eastAsia="hr-HR"/>
                <w14:ligatures w14:val="none"/>
              </w:rPr>
              <w:t>=0,82</w:t>
            </w:r>
          </w:p>
        </w:tc>
        <w:tc>
          <w:tcPr>
            <w:tcW w:w="262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2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2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br/>
      </w: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97" w:name="_Toc217040725"/>
      <w:r>
        <w:rPr>
          <w:rFonts w:ascii="Times New Roman" w:eastAsia="Times New Roman" w:hAnsi="Times New Roman" w:cs="Times New Roman"/>
          <w:lang w:eastAsia="hr-HR"/>
        </w:rPr>
        <w:t>Zadovoljstvo turista i jednodnevnih posjetitelja destinacijom</w:t>
      </w:r>
      <w:bookmarkEnd w:id="97"/>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6"/>
        <w:gridCol w:w="4134"/>
        <w:gridCol w:w="2676"/>
        <w:gridCol w:w="2671"/>
        <w:gridCol w:w="2670"/>
      </w:tblGrid>
      <w:tr w:rsidR="00702E3C">
        <w:tc>
          <w:tcPr>
            <w:tcW w:w="2014"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53"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 xml:space="preserve"> Postotak ponovljenih/stalnih turista u smještajnim objektima destinacije (SZT – 1)</w:t>
            </w:r>
          </w:p>
        </w:tc>
      </w:tr>
      <w:tr w:rsidR="00702E3C">
        <w:tc>
          <w:tcPr>
            <w:tcW w:w="2014"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 postotak ponovljenih/stalnih turista (u razdoblju od pet godina)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zadovoljstvo turista i jednodnevnih posjetitelja destinacijom; turistički promet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Strategijom i Nacionalnim planom</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 10. Odgovoriti na trendove u razvoju turističkih destinacija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Procjena broja turista u smještajnim kapacitetima koji su već posjetili odredište tijekom posljednjih 5 godina u ukupnom broju turista u smještajnim kapacitetima u destinaciji (u %).</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destinacije je privlačiti nove goste, ali i zadržavati one stare. Stalni (‘vjerni’) gosti često donose i veću korist destinaciji, te pridonose stabilnosti destinacije u kriznim razdobljima. Prijedlog je (ETIS) pratiti udio gostiju koji se vraćaju unutar posljednjih 5 godina i usmjeriti se na praćenje ponovljenih dolazaka turista u oblicima smještaja. Kvantitativno istraživanje turističke potražnje koje se provodi na reprezentativnim uzorcima turista u smještajnim kapacitetima (anketa). Ukoliko su rezultati takvih istraživanja na raspolaganju, pokazatelj se izravno preuzima iz istraživanja. Inače je potrebno provesti istraživanje.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ispitanika u smještajnim objektima destinacije u koji su već posjetili odredište tijekom posljednjih 5 godina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2. Ukupan broj ispitanika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broj ispitanika u smještaju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Anketa o zadovoljstvu turista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 u razdoblju visoke i niske sezone</w:t>
            </w:r>
          </w:p>
        </w:tc>
      </w:tr>
      <w:tr w:rsidR="00702E3C">
        <w:tc>
          <w:tcPr>
            <w:tcW w:w="6139"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Izračun se temelji na odgovorima ispitanika (poželjna segmentacija posjetitelja po vrsti smještajnih objekata)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BIP – </w:t>
            </w:r>
            <w:r>
              <w:rPr>
                <w:rFonts w:ascii="Times New Roman" w:eastAsia="Times New Roman" w:hAnsi="Times New Roman" w:cs="Times New Roman"/>
                <w:kern w:val="0"/>
                <w:sz w:val="20"/>
                <w:szCs w:val="20"/>
                <w:lang w:eastAsia="hr-HR"/>
                <w14:ligatures w14:val="none"/>
              </w:rPr>
              <w:t>broj ispitanika u smještajnim objektima u koji su već posjetili odredište tijekom posljednjih 5 god.</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BI – </w:t>
            </w:r>
            <w:r>
              <w:rPr>
                <w:rFonts w:ascii="Times New Roman" w:eastAsia="Times New Roman" w:hAnsi="Times New Roman" w:cs="Times New Roman"/>
                <w:kern w:val="0"/>
                <w:sz w:val="20"/>
                <w:szCs w:val="20"/>
                <w:lang w:eastAsia="hr-HR"/>
                <w14:ligatures w14:val="none"/>
              </w:rPr>
              <w:t>ukupni broj ispitanika u smještaju destinacije</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 </w:t>
            </w:r>
            <m:oMath>
              <m:r>
                <w:rPr>
                  <w:rFonts w:ascii="Cambria Math" w:eastAsia="Times New Roman" w:hAnsi="Cambria Math" w:cs="Times New Roman"/>
                  <w:kern w:val="0"/>
                  <w:sz w:val="20"/>
                  <w:szCs w:val="20"/>
                  <w:lang w:eastAsia="hr-HR"/>
                  <w14:ligatures w14:val="none"/>
                </w:rPr>
                <m:t xml:space="preserve">Postotak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ponovljenih</m:t>
                  </m:r>
                </m:num>
                <m:den>
                  <m:r>
                    <w:rPr>
                      <w:rFonts w:ascii="Cambria Math" w:eastAsia="Times New Roman" w:hAnsi="Cambria Math" w:cs="Times New Roman"/>
                      <w:kern w:val="0"/>
                      <w:sz w:val="20"/>
                      <w:szCs w:val="20"/>
                      <w:lang w:eastAsia="hr-HR"/>
                      <w14:ligatures w14:val="none"/>
                    </w:rPr>
                    <m:t xml:space="preserve">ukupnih </m:t>
                  </m:r>
                </m:den>
              </m:f>
              <m:r>
                <w:rPr>
                  <w:rFonts w:ascii="Cambria Math" w:eastAsia="Times New Roman" w:hAnsi="Cambria Math" w:cs="Times New Roman"/>
                  <w:kern w:val="0"/>
                  <w:sz w:val="20"/>
                  <w:szCs w:val="20"/>
                  <w:lang w:eastAsia="hr-HR"/>
                  <w14:ligatures w14:val="none"/>
                </w:rPr>
                <m:t xml:space="preserve"> turista u smještaju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BIP</m:t>
                  </m:r>
                </m:num>
                <m:den>
                  <m:r>
                    <w:rPr>
                      <w:rFonts w:ascii="Cambria Math" w:eastAsia="Times New Roman" w:hAnsi="Cambria Math" w:cs="Times New Roman"/>
                      <w:kern w:val="0"/>
                      <w:sz w:val="20"/>
                      <w:szCs w:val="20"/>
                      <w:lang w:eastAsia="hr-HR"/>
                      <w14:ligatures w14:val="none"/>
                    </w:rPr>
                    <m:t>BI</m:t>
                  </m:r>
                </m:den>
              </m:f>
              <m:r>
                <w:rPr>
                  <w:rFonts w:ascii="Cambria Math" w:eastAsia="Times New Roman" w:hAnsi="Cambria Math" w:cs="Times New Roman"/>
                  <w:kern w:val="0"/>
                  <w:sz w:val="20"/>
                  <w:szCs w:val="20"/>
                  <w:lang w:eastAsia="hr-HR"/>
                  <w14:ligatures w14:val="none"/>
                </w:rPr>
                <m:t xml:space="preserve"> × 100%</m:t>
              </m:r>
            </m:oMath>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6139"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Svake dvije godine </w:t>
            </w:r>
          </w:p>
        </w:tc>
      </w:tr>
      <w:tr w:rsidR="00702E3C">
        <w:tc>
          <w:tcPr>
            <w:tcW w:w="6139" w:type="dxa"/>
            <w:gridSpan w:val="2"/>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w:t>
            </w:r>
          </w:p>
        </w:tc>
        <w:tc>
          <w:tcPr>
            <w:tcW w:w="802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poskupljuje i produžuje proces.</w:t>
            </w:r>
          </w:p>
        </w:tc>
      </w:tr>
      <w:tr w:rsidR="00702E3C">
        <w:tc>
          <w:tcPr>
            <w:tcW w:w="6139"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67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67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67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39"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61,54%</w:t>
            </w:r>
          </w:p>
        </w:tc>
        <w:tc>
          <w:tcPr>
            <w:tcW w:w="26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7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7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98" w:name="_Toc217040726"/>
      <w:r>
        <w:rPr>
          <w:rFonts w:ascii="Times New Roman" w:eastAsia="Times New Roman" w:hAnsi="Times New Roman" w:cs="Times New Roman"/>
          <w:lang w:eastAsia="hr-HR"/>
        </w:rPr>
        <w:t>Pristupačnost destinacije</w:t>
      </w:r>
      <w:bookmarkEnd w:id="98"/>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06"/>
        <w:gridCol w:w="4101"/>
        <w:gridCol w:w="2694"/>
        <w:gridCol w:w="2685"/>
        <w:gridCol w:w="2681"/>
      </w:tblGrid>
      <w:tr w:rsidR="00702E3C">
        <w:tc>
          <w:tcPr>
            <w:tcW w:w="1988"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79"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pristupačnih smještajnih jedinica u destinaciji (SPD-1)</w:t>
            </w:r>
          </w:p>
        </w:tc>
      </w:tr>
      <w:tr w:rsidR="00702E3C">
        <w:tc>
          <w:tcPr>
            <w:tcW w:w="1988"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4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(prilagodba) – Udio smještajnih objekata s pristupačnim smještajem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pristupačnost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9 – Prilagodljiva infrastruktura, uključiva i održiva industrijalizacija i inovativnost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Unaprjeđenje strukture i kvalitete smještajnih kapaciteta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definira udio smještajnih jedinica pristupačnih za osobe s motoričkim, senzornim ili mentalnim oštećenjima u destinaciji u ukupnom broju smještajnih jedinica.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turističkih sadržaja, proizvoda i usluga osobama s motoričkim, senzornim ili mentalnim oštećenjima je središnji dio odgovornih i održivih turističkih politika. Udio pristupačnih smještajnih jedinica odražava tržišnu dostupnost i privlačnost destinacije, te može imati pozitivan utjecaj na gospodarstvo, društvenu inkluzivnost i imidž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(opcinalno)</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pristupačnih smještajnih jedinica u kolektivnim smještajnim kapacitetima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Udio pristupačnih smještajnih jedinica u privatnim smještajnim kapacitetima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smještajnih jedinica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2. Broj pristupačnih smještajnih jedinica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smještajna jedinica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eVisitor</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Jedinstveni turistički informatički registar</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nije trenutno dostupan, no u postupku je prikupljanje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Metodološke smjernice za prikupljanje podataka i provođenje primarnih istraživanja objavljuju se na mrežnim stranicama Ministarstva (smještajni kapaciteti)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Kontinuirano dostupan podatak</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Svake dvije godine</w:t>
            </w:r>
          </w:p>
        </w:tc>
      </w:tr>
      <w:tr w:rsidR="00702E3C">
        <w:tc>
          <w:tcPr>
            <w:tcW w:w="6035"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pristupačnih smještajnih jedinica = </m:t>
                </m:r>
                <m:d>
                  <m:dPr>
                    <m:ctrlPr>
                      <w:rPr>
                        <w:rFonts w:ascii="Cambria Math" w:eastAsia="Times New Roman" w:hAnsi="Cambria Math" w:cs="Times New Roman"/>
                        <w:i/>
                        <w:kern w:val="0"/>
                        <w:sz w:val="20"/>
                        <w:szCs w:val="20"/>
                        <w:lang w:eastAsia="hr-HR"/>
                        <w14:ligatures w14:val="none"/>
                      </w:rPr>
                    </m:ctrlPr>
                  </m:dPr>
                  <m:e>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Broj pristupačnih smještajnih jedinica</m:t>
                        </m:r>
                      </m:num>
                      <m:den>
                        <m:r>
                          <w:rPr>
                            <w:rFonts w:ascii="Cambria Math" w:eastAsia="Times New Roman" w:hAnsi="Cambria Math" w:cs="Times New Roman"/>
                            <w:kern w:val="0"/>
                            <w:sz w:val="20"/>
                            <w:szCs w:val="20"/>
                            <w:lang w:eastAsia="hr-HR"/>
                            <w14:ligatures w14:val="none"/>
                          </w:rPr>
                          <m:t xml:space="preserve">Ukupan broj smještajnih jedinica </m:t>
                        </m:r>
                      </m:den>
                    </m:f>
                  </m:e>
                </m:d>
                <m:r>
                  <w:rPr>
                    <w:rFonts w:ascii="Cambria Math" w:eastAsia="Times New Roman" w:hAnsi="Cambria Math" w:cs="Times New Roman"/>
                    <w:kern w:val="0"/>
                    <w:sz w:val="20"/>
                    <w:szCs w:val="20"/>
                    <w:lang w:eastAsia="hr-HR"/>
                    <w14:ligatures w14:val="none"/>
                  </w:rPr>
                  <m:t xml:space="preserve"> × 100</m:t>
                </m:r>
              </m:oMath>
            </m:oMathPara>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r w:rsidR="00702E3C">
        <w:tc>
          <w:tcPr>
            <w:tcW w:w="6035"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035" w:type="dxa"/>
            <w:gridSpan w:val="2"/>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r>
              <w:rPr>
                <w:rFonts w:ascii="Times New Roman" w:eastAsia="Times New Roman" w:hAnsi="Times New Roman" w:cs="Times New Roman"/>
                <w:kern w:val="0"/>
                <w:sz w:val="20"/>
                <w:szCs w:val="20"/>
                <w:lang w:eastAsia="hr-HR"/>
                <w14:ligatures w14:val="none"/>
              </w:rPr>
              <w:br/>
            </w:r>
          </w:p>
        </w:tc>
      </w:tr>
      <w:tr w:rsidR="00702E3C">
        <w:tc>
          <w:tcPr>
            <w:tcW w:w="6035"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7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1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71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03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813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309" w:type="dxa"/>
        <w:shd w:val="clear" w:color="auto" w:fill="FFFFFF"/>
        <w:tblCellMar>
          <w:left w:w="0" w:type="dxa"/>
          <w:right w:w="0" w:type="dxa"/>
        </w:tblCellMar>
        <w:tblLook w:val="04A0" w:firstRow="1" w:lastRow="0" w:firstColumn="1" w:lastColumn="0" w:noHBand="0" w:noVBand="1"/>
      </w:tblPr>
      <w:tblGrid>
        <w:gridCol w:w="2015"/>
        <w:gridCol w:w="4128"/>
        <w:gridCol w:w="2044"/>
        <w:gridCol w:w="2041"/>
        <w:gridCol w:w="2040"/>
        <w:gridCol w:w="2041"/>
      </w:tblGrid>
      <w:tr w:rsidR="00702E3C">
        <w:tc>
          <w:tcPr>
            <w:tcW w:w="2004"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305"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Javno dostupne informacije o atrakcijama u turističkim i informativnim centrima (SPD-2)</w:t>
            </w:r>
          </w:p>
        </w:tc>
      </w:tr>
      <w:tr w:rsidR="00702E3C">
        <w:tc>
          <w:tcPr>
            <w:tcW w:w="2004"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0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Interpretativne informacije dostupne posjetiteljima u turističkim uredima te na prirodnim i kulturnim lokacijama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pristupačnost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Pružanje javno dostupnih informacija o atrakcijama doprinosi stvaranju održivih i otpornih urbanih područja, pomažući u planiranju i upravljanju urbanim razvojem, uključujući turističke destinacije.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Dostojan rad i ekonomski rast – Informacije koje promiču turističke destinacije mogu doprinijeti održivom ekonomskom rastu i stvaranju kvalitetnih radnih mjesta.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Održiva potrošnja i proizvodnja – Informacije koje uključuju načela održive potrošnje i proizvodnje mogu pomoći u smanjenju ekološkog otiska turizma.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Strategijom i Nacionalnim planom</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skup informacije o lokalnim atrakcijama, kulturnim događanjima, povijesnim znamenitostima i prirodnim ljepotama u turističkoj destinaciji, koji su namijenjeni posjetiteljima.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Ovaj pokazatelj odnosi se na dostupnost informacija o turističkim atrakcijama koje pružaju turistički i informativni centri. Uključuje detalje o lokacijama, radnom vremenu, pristupačnosti, kulturnim i povijesnim kontekstima atrakcija, što pridonosi boljem iskustvu posjetitelja. Pružene informacije igraju ključnu ulogu u održivom upravljanju turističkim tokovima te promicanju kulturne i prirodne baštine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Dostupne brošure o turističkim atrakcijama na barem tri strana jezika u uredu turističke zajednice / turističkim informativnim centrima / lokalitetima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Informacije dostupne na web stranicama turističkih zajednica/lokaliteta o ključnim aspektima turističke ponude (atrakcije, ugostiteljska ponuda, dostupnost destinacije) na barem tri strana jezika na web stranici turističke zajednice / turističkog informativnog centra –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Dostupan dokument u fizičkom i/ili virtualnom obliku.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Turistička zajednica / JLS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Odabrani turistički lokaliteti od značaja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nije dostupan, nužno je prikupljanje podataka primarnim istraživanjem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nije dostupan, nužno je prikupljanje podataka primarnim istraživanjem od strane odabranih lokaliteta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(link na smjernice)</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Anketiranje upravitelja turističkih lokaliteta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Jednom godišnje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Jednom godišnje</w:t>
            </w:r>
          </w:p>
        </w:tc>
      </w:tr>
      <w:tr w:rsidR="00702E3C">
        <w:tc>
          <w:tcPr>
            <w:tcW w:w="6104"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predstavlja niz kvalitativnih podataka</w:t>
            </w:r>
          </w:p>
        </w:tc>
      </w:tr>
      <w:tr w:rsidR="00702E3C">
        <w:tc>
          <w:tcPr>
            <w:tcW w:w="6104"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04" w:type="dxa"/>
            <w:gridSpan w:val="2"/>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20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Aktualnost i točnost: Informacije mogu zastarjeti ili biti netočne ako se ne ažuriraju redovito.</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Doseg i pristupačnost: Informacije možda nisu dostupne na svim jezicima ili prilagođene osobama s posebnim potrebama.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Objektivnost: Informacije mogu biti pristrane ili fokusirane samo na popularne atrakcije, zanemarujući manje poznate lokalitete.</w:t>
            </w:r>
          </w:p>
        </w:tc>
      </w:tr>
      <w:tr w:rsidR="00702E3C">
        <w:tc>
          <w:tcPr>
            <w:tcW w:w="6104"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5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5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5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5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0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DA</w:t>
            </w:r>
          </w:p>
        </w:tc>
        <w:tc>
          <w:tcPr>
            <w:tcW w:w="205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205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205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205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1979"/>
        <w:gridCol w:w="4028"/>
        <w:gridCol w:w="2753"/>
        <w:gridCol w:w="2712"/>
        <w:gridCol w:w="2695"/>
      </w:tblGrid>
      <w:tr w:rsidR="00702E3C">
        <w:tc>
          <w:tcPr>
            <w:tcW w:w="1952"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215"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Postotak pristupačnih linija javnog prijevoza u destinaciji za osobe s invaliditetom (SPD-3)</w:t>
            </w:r>
          </w:p>
        </w:tc>
      </w:tr>
      <w:tr w:rsidR="00702E3C">
        <w:tc>
          <w:tcPr>
            <w:tcW w:w="1952"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94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 Postotak javnog prijevoza dostupan osobama s invaliditetom i specifičnim potrebama pristupačnosti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pristupačnost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Pružanje javno dostupnih informacija o atrakcijama doprinosi stvaranju održivih i otpornih urbanih područja, pomažući u planiranju i upravljanju urbanim razvojem, uključujući turističke destinacije.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Dostojan rad i ekonomski rast – Informacije koje promiču turističke destinacije mogu doprinijeti održivom ekonomskom rastu i stvaranju kvalitetnih radnih mjesta.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definira kao postotak linija javnog prijevoza u destinaciji koji opslužuje javni prijevoz pristupačan osobama s invaliditetom i osobama s posebnim zahtjevima za pristup</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Osnovna svrha pokazatelja je uvid u mogućnosti kretanja javnim prijevozom unutar destinacije osobama s motoričkim ili osjetilnim invaliditetom, a time i njihova mogućnost da posjećuju različite sadržaje unutar destinacije. Osnovo obilježje javnog prijevoza pristupačnog osobama s invaliditetom, jest postojanje zvučne signalizacije, rampa za invalidska kolica i mjesta za njihov smještaj unutar javnog prijevoza.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javnih linija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javnih linija pokrivenih javnim prijevozom dostupnim osobama s invaliditetom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broj linija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Javno prijevozničko poduzeće s koncesijom za prometovanje na području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Podatci dostupni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2 godine</w:t>
            </w:r>
          </w:p>
        </w:tc>
      </w:tr>
      <w:tr w:rsidR="00702E3C">
        <w:tc>
          <w:tcPr>
            <w:tcW w:w="5899"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JL – </w:t>
            </w:r>
            <w:r>
              <w:rPr>
                <w:rFonts w:ascii="Times New Roman" w:eastAsia="Times New Roman" w:hAnsi="Times New Roman" w:cs="Times New Roman"/>
                <w:kern w:val="0"/>
                <w:sz w:val="20"/>
                <w:szCs w:val="20"/>
                <w:lang w:eastAsia="hr-HR"/>
                <w14:ligatures w14:val="none"/>
              </w:rPr>
              <w:t>broj svih javnih linija u destinaciji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PJL – </w:t>
            </w:r>
            <w:r>
              <w:rPr>
                <w:rFonts w:ascii="Times New Roman" w:eastAsia="Times New Roman" w:hAnsi="Times New Roman" w:cs="Times New Roman"/>
                <w:kern w:val="0"/>
                <w:sz w:val="20"/>
                <w:szCs w:val="20"/>
                <w:lang w:eastAsia="hr-HR"/>
                <w14:ligatures w14:val="none"/>
              </w:rPr>
              <w:t>broj javnih linija pokrivenih javnim prijevozom dostupnim osobama s invaliditetom</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postotak linija pokrivenih JP dostupnim osobama s invaliditetom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PJL</m:t>
                    </m:r>
                  </m:num>
                  <m:den>
                    <m:r>
                      <w:rPr>
                        <w:rFonts w:ascii="Cambria Math" w:eastAsia="Times New Roman" w:hAnsi="Cambria Math" w:cs="Times New Roman"/>
                        <w:kern w:val="0"/>
                        <w:sz w:val="20"/>
                        <w:szCs w:val="20"/>
                        <w:lang w:eastAsia="hr-HR"/>
                        <w14:ligatures w14:val="none"/>
                      </w:rPr>
                      <m:t>JL</m:t>
                    </m:r>
                  </m:den>
                </m:f>
                <m:r>
                  <w:rPr>
                    <w:rFonts w:ascii="Cambria Math" w:eastAsia="Times New Roman" w:hAnsi="Cambria Math" w:cs="Times New Roman"/>
                    <w:kern w:val="0"/>
                    <w:sz w:val="20"/>
                    <w:szCs w:val="20"/>
                    <w:lang w:eastAsia="hr-HR"/>
                    <w14:ligatures w14:val="none"/>
                  </w:rPr>
                  <m:t xml:space="preserve"> × 100</m:t>
                </m:r>
              </m:oMath>
            </m:oMathPara>
          </w:p>
        </w:tc>
      </w:tr>
      <w:tr w:rsidR="00702E3C">
        <w:tc>
          <w:tcPr>
            <w:tcW w:w="5899"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5899" w:type="dxa"/>
            <w:gridSpan w:val="2"/>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Ograničenje predstavlja eventualno nepostojanje podataka o prijevoznim sredstvima i njihovoj prilagođenosti. Drugo ograničenje je što pokazatelj se ne referira na frekvenciju vozila na liniji, kao ni na ostale pristupne i infrastrukturne objekte u okruženju stanica javnog linijskog prijevoza</w:t>
            </w:r>
          </w:p>
        </w:tc>
      </w:tr>
      <w:tr w:rsidR="00702E3C">
        <w:tc>
          <w:tcPr>
            <w:tcW w:w="5899"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7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7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5899"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20%</w:t>
            </w:r>
          </w:p>
        </w:tc>
        <w:tc>
          <w:tcPr>
            <w:tcW w:w="826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99" w:name="_Toc217040727"/>
      <w:r>
        <w:rPr>
          <w:rFonts w:ascii="Times New Roman" w:eastAsia="Times New Roman" w:hAnsi="Times New Roman" w:cs="Times New Roman"/>
          <w:lang w:eastAsia="hr-HR"/>
        </w:rPr>
        <w:t>Sigurnost destinacije</w:t>
      </w:r>
      <w:bookmarkEnd w:id="99"/>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4"/>
        <w:gridCol w:w="4127"/>
        <w:gridCol w:w="2010"/>
        <w:gridCol w:w="2005"/>
        <w:gridCol w:w="2005"/>
        <w:gridCol w:w="2006"/>
      </w:tblGrid>
      <w:tr w:rsidR="00702E3C">
        <w:tc>
          <w:tcPr>
            <w:tcW w:w="200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2"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Ukupan broj kaznenih djela i prekršaja prijavljenih policiji po mjesecima (SSD-1)</w:t>
            </w:r>
          </w:p>
        </w:tc>
      </w:tr>
      <w:tr w:rsidR="00702E3C">
        <w:tc>
          <w:tcPr>
            <w:tcW w:w="2005" w:type="dxa"/>
            <w:vMerge w:val="restart"/>
            <w:tcBorders>
              <w:top w:val="single" w:sz="6" w:space="0" w:color="auto"/>
              <w:left w:val="single" w:sz="6" w:space="0" w:color="auto"/>
              <w:bottom w:val="nil"/>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9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(prilagodba) – Postotak turista koji su podnijeli prijavu policiji</w:t>
            </w:r>
          </w:p>
        </w:tc>
      </w:tr>
      <w:tr w:rsidR="00702E3C">
        <w:tc>
          <w:tcPr>
            <w:tcW w:w="0" w:type="auto"/>
            <w:vMerge/>
            <w:tcBorders>
              <w:top w:val="single" w:sz="6" w:space="0" w:color="auto"/>
              <w:left w:val="single" w:sz="6" w:space="0" w:color="auto"/>
              <w:bottom w:val="nil"/>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sigurnost destinacije</w:t>
            </w:r>
          </w:p>
        </w:tc>
      </w:tr>
      <w:tr w:rsidR="00702E3C">
        <w:tc>
          <w:tcPr>
            <w:tcW w:w="0" w:type="auto"/>
            <w:vMerge/>
            <w:tcBorders>
              <w:top w:val="single" w:sz="6" w:space="0" w:color="auto"/>
              <w:left w:val="single" w:sz="6" w:space="0" w:color="auto"/>
              <w:bottom w:val="nil"/>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tc>
      </w:tr>
      <w:tr w:rsidR="00702E3C">
        <w:tc>
          <w:tcPr>
            <w:tcW w:w="0" w:type="auto"/>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Odgovoriti na trendove u razvoju turističkih destinacija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definira ukupan broj kaznenih djela i prekršaja koji su prijavljeni lokalnim policijskim postajama po mjesecima u godini.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 svrhu očuvanja percepcije destinacije kao sigurnog mjesta za odmor od strane posjetitelja, izuzetno je važno pratiti dinamiku prijavljenih kaznenih djela i prekršaja policiji. Povećanje vrijednosti ovog pokazatelja, u slučaju zadržavanja ukupnog broja i strukture stalnih stanovnika destinacije nepromijenjenom, svakako može predstavljati rani nagovještaj moguće promjene percepcije posjetitelja destinacije u pogledu njezine sigurnosti.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Ukupan broj kaznenih djela protiv imovine, života, tijela te spolne slobode i prekršaja protiv javnog reda i mira prijavljenih policiji po mjesecima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Ukupan broj kaznenih djela i prekršaja službeno prijavljenih u policijskoj postaji.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Kazneno djelo sukladno kaznenom zakonu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Prekršaj sukladno zakonu o prekršajima protiv javnog reda i mira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Ministarstvo unutarnjih poslova (dalje u tekstu: MUP)</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Javno su dostupni podaci o broju prijavljenih kaznenih djela po županijama na godišnjoj razini.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Javno nisu dostupni podaci za destinacije kao niti podaci po mjesecima.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kontinuirano dostupan na godišnjoj razini.</w:t>
            </w:r>
          </w:p>
        </w:tc>
      </w:tr>
      <w:tr w:rsidR="00702E3C">
        <w:tc>
          <w:tcPr>
            <w:tcW w:w="6102"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se preuzima iz službenih izvora</w:t>
            </w:r>
          </w:p>
        </w:tc>
      </w:tr>
      <w:tr w:rsidR="00702E3C">
        <w:tc>
          <w:tcPr>
            <w:tcW w:w="6102"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02" w:type="dxa"/>
            <w:gridSpan w:val="2"/>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w:t>
            </w:r>
          </w:p>
        </w:tc>
        <w:tc>
          <w:tcPr>
            <w:tcW w:w="806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Iako se podaci o podnesenim kaznenim djelima i prekršajima u lokalnim policijskim postajama službeno evidentiraju od strane Ministarstva unutarnjih poslova, ti podaci nisu javno dostupni. Javno su dostupni podaci o ukupno prijavljenim kaznenim djelima i prekršajima na nacionalnoj i godišnjoj razini, dok su podaci za županije također javno dostupni na godišnjoj razini, ali samo za ukupan broj prijavljenih kaznenih djela. Podaci na razini jedinica lokalne uprave i samouprave, kao i podaci na mjesečnoj razini nisu javno dostupni u službenim statističkim objavama Ministarstva unutarnjih poslova.</w:t>
            </w:r>
          </w:p>
        </w:tc>
      </w:tr>
      <w:tr w:rsidR="00702E3C">
        <w:tc>
          <w:tcPr>
            <w:tcW w:w="610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1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1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18</w:t>
            </w:r>
          </w:p>
        </w:tc>
        <w:tc>
          <w:tcPr>
            <w:tcW w:w="201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1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309" w:type="dxa"/>
        <w:shd w:val="clear" w:color="auto" w:fill="FFFFFF"/>
        <w:tblCellMar>
          <w:left w:w="0" w:type="dxa"/>
          <w:right w:w="0" w:type="dxa"/>
        </w:tblCellMar>
        <w:tblLook w:val="04A0" w:firstRow="1" w:lastRow="0" w:firstColumn="1" w:lastColumn="0" w:noHBand="0" w:noVBand="1"/>
      </w:tblPr>
      <w:tblGrid>
        <w:gridCol w:w="2014"/>
        <w:gridCol w:w="4118"/>
        <w:gridCol w:w="2725"/>
        <w:gridCol w:w="6"/>
        <w:gridCol w:w="2723"/>
        <w:gridCol w:w="2723"/>
      </w:tblGrid>
      <w:tr w:rsidR="00702E3C">
        <w:tc>
          <w:tcPr>
            <w:tcW w:w="200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304"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turista koji su uložili prigovor kod policije (SSD-2)</w:t>
            </w:r>
          </w:p>
        </w:tc>
      </w:tr>
      <w:tr w:rsidR="00702E3C">
        <w:tc>
          <w:tcPr>
            <w:tcW w:w="200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Postotak turista koji su uložili prigovor kod policije (C.2.1.)</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Odgovoriti na trendove u razvoju turističkih destinacija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udio onih turista koji su uložili prigovor kod policije u odnosu na ukupan broj turista u destinaciji tijekom jedne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Prigovor je problem koji uzrokuje veliku zabrinutost i strah kod građana i posjetitelja te ometa njihov svakodnevni život. Pritužba sadrži informacije o rizičnim pojedincima, skupinama, mjestima i situacijama te informacije o kažnjivim djelima (ova vrsta podataka se ne prikuplja)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prati broj prigovora koje su policiji uložili turisti u destinaciji te ukupan broj turista u destinaciji. Pokazatelj se iskazuje kao udio (%) turista koji su uložili prigovore u odnosu na ukupan broj turista u destinaciji, po mjesecima i ukupno u kalendarskoj godini. Vođenje evidencije o prijavama dužno je voditi tijelo državne uprave nadležno za unutarnje poslove (MUP), odnosno policijska uprava (PU) u jedinicama lokalne i područne (regionalne) samouprave JL(R)S, na temelju Zakona i provedbenih propisa.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Napomena: prikuplja se isključivo broj prigovora, informacije o sadržaju prigovora ne trebaju biti prikupljene u ove svrhe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N/P</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Ukupan broj turista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prigovora uloženih policijskoj upravi destinacije od strane turista u destinaciji, temeljem posebnih propisa kojim se uređuje postupanje policije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eVisitor</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MUP, nadležna policijska uprava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Svake dvije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Svake dvije godine</w:t>
            </w:r>
          </w:p>
        </w:tc>
      </w:tr>
      <w:tr w:rsidR="00702E3C">
        <w:tc>
          <w:tcPr>
            <w:tcW w:w="6095"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Metodologija izračuna pokazatelja</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izračunava kao udio broja prigovora turista policiji u destinaciji u koji borave u odnosu na ukupan broj turista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broja prigovora turista policiji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broj prigovora turista u destinaciji</m:t>
                    </m:r>
                  </m:num>
                  <m:den>
                    <m:r>
                      <w:rPr>
                        <w:rFonts w:ascii="Cambria Math" w:eastAsia="Times New Roman" w:hAnsi="Cambria Math" w:cs="Times New Roman"/>
                        <w:kern w:val="0"/>
                        <w:sz w:val="20"/>
                        <w:szCs w:val="20"/>
                        <w:lang w:eastAsia="hr-HR"/>
                        <w14:ligatures w14:val="none"/>
                      </w:rPr>
                      <m:t xml:space="preserve">ukupan broj turista u destinaciji </m:t>
                    </m:r>
                  </m:den>
                </m:f>
                <m:r>
                  <w:rPr>
                    <w:rFonts w:ascii="Cambria Math" w:eastAsia="Times New Roman" w:hAnsi="Cambria Math" w:cs="Times New Roman"/>
                    <w:kern w:val="0"/>
                    <w:sz w:val="20"/>
                    <w:szCs w:val="20"/>
                    <w:lang w:eastAsia="hr-HR"/>
                    <w14:ligatures w14:val="none"/>
                  </w:rPr>
                  <m:t xml:space="preserve"> × 100%</m:t>
                </m:r>
              </m:oMath>
            </m:oMathPara>
          </w:p>
        </w:tc>
      </w:tr>
      <w:tr w:rsidR="00702E3C">
        <w:tc>
          <w:tcPr>
            <w:tcW w:w="6095"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095"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3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73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09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273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3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3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6"/>
        <w:gridCol w:w="4133"/>
        <w:gridCol w:w="2006"/>
        <w:gridCol w:w="2004"/>
        <w:gridCol w:w="2004"/>
        <w:gridCol w:w="2004"/>
      </w:tblGrid>
      <w:tr w:rsidR="00702E3C">
        <w:tc>
          <w:tcPr>
            <w:tcW w:w="2014"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53"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Sigurnosne mjere kao što su stanice prve pomoći na plažama/lokalitetima turističkih atrakcija (SSD-3)</w:t>
            </w:r>
          </w:p>
        </w:tc>
      </w:tr>
      <w:tr w:rsidR="00702E3C">
        <w:tc>
          <w:tcPr>
            <w:tcW w:w="2014"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indikatora s međunarodnim sustavima</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Sigurnosne mjere kao što su stanice prve pomoći na plažama/mjesta turističkih atrakcija (IN-A12.b.)</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Strategijom i Nacionalnim planom</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 10. Odgovoriti na trendove u razvoju turističkih destinacija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informacije o broju mjera, lokalitetu primjene, razdoblju implementacije s obveznim opisom mjera koje su implementirane u destinaciji za pomoći na plažama/lokalitetima turističkih atrakcija u okviru sustava za odgovor na sigurnosne i zdravstvene rizike.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prati ima li destinacija sustav za praćenje i prevenciju te odgovor na sigurnosne i zdravstvene rizike.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mjera koje su implementirane u destinaciji u okviru sustava za odgovor na sigurnosne i zdravstvene rizike, npr. za pomoći na plažama i lokalitetima turističkih atrakcija.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Jedinice lokalne samouprave, Domovi zdravlja – turističke ambulante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Jednom godišnje</w:t>
            </w:r>
          </w:p>
        </w:tc>
      </w:tr>
      <w:tr w:rsidR="00702E3C">
        <w:tc>
          <w:tcPr>
            <w:tcW w:w="6132" w:type="dxa"/>
            <w:gridSpan w:val="2"/>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Evidencija o broju mjera, lokalitetu primjene, razdoblju implementacije s obveznim opisom mjere.</w:t>
            </w:r>
          </w:p>
        </w:tc>
      </w:tr>
      <w:tr w:rsidR="00702E3C">
        <w:tc>
          <w:tcPr>
            <w:tcW w:w="6132"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35"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3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1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0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0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0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3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w:t>
            </w:r>
          </w:p>
        </w:tc>
        <w:tc>
          <w:tcPr>
            <w:tcW w:w="20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0"/>
        <w:gridCol w:w="4113"/>
        <w:gridCol w:w="2026"/>
        <w:gridCol w:w="19"/>
        <w:gridCol w:w="2052"/>
        <w:gridCol w:w="1937"/>
        <w:gridCol w:w="12"/>
        <w:gridCol w:w="1998"/>
      </w:tblGrid>
      <w:tr w:rsidR="00702E3C">
        <w:tc>
          <w:tcPr>
            <w:tcW w:w="200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4" w:type="dxa"/>
            <w:gridSpan w:val="7"/>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Broj prometnih nesreća sa smrtnim ishodom na 1000 noćenja (turista i lokalne zajednice) (SSD-4)</w:t>
            </w:r>
          </w:p>
        </w:tc>
      </w:tr>
      <w:tr w:rsidR="00702E3C">
        <w:tc>
          <w:tcPr>
            <w:tcW w:w="200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EC – Europski opservatorij za sigurnost cestovnog prometa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 10. Odgovoriti na trendove u razvoju turističkih destinacija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određuje omjer između broja nesreća sa smrtnim ishodom na području destinacije i broja ostvarenih noćenja lokalnih stanovnika i turista.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Veća vrijednost pokazatelja može ukazati na neadekvatnost prometne infrastrukture i potrebu za njezinom obnovom ili izgradnjom dodatnih objekata.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Broj prometnih nesreća sa smrtnim ishodom u kojima su sudjelovali lokalni stanovnici na 1000 noćenja lokalnih stanovnika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Broj prometnih nesreća sa smrtnim ishodom u kojima su sudjelovale osobe koje nisu lokalni stanovnici na 1000 noćenja turista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stanovnika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ostvarenih turističkih noćenja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Broj prometnih nesreća sa smrtnim ishodom na području destinacije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 Broj prometnih nesreća sa smrtnim ishodom na području destinacije u kojima su sudjelovali lokalni stanovnici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5. Broj prometnih nesreća sa smrtnim ishodom na području destinacije u kojima nisu sudjelovali lokalni stanovnici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Stanovnika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Noćenja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3-5. Broj nesreća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DZS, Gradovi i općine u statistici ~ Stanovništvo – procjena i prirodno kretanje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eVisitor</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 5. Ministarstvo unutarnjih poslova RH, nadležna policijska uprava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su dostupni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Godišnje</w:t>
            </w:r>
          </w:p>
        </w:tc>
      </w:tr>
      <w:tr w:rsidR="00702E3C">
        <w:tc>
          <w:tcPr>
            <w:tcW w:w="6093"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Metodologija izračuna pokazatelja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BS – </w:t>
            </w:r>
            <w:r>
              <w:rPr>
                <w:rFonts w:ascii="Times New Roman" w:eastAsia="Times New Roman" w:hAnsi="Times New Roman" w:cs="Times New Roman"/>
                <w:kern w:val="0"/>
                <w:sz w:val="20"/>
                <w:szCs w:val="20"/>
                <w:lang w:eastAsia="hr-HR"/>
                <w14:ligatures w14:val="none"/>
              </w:rPr>
              <w:t>broj stanovnika u destinaciji početkom godine. </w:t>
            </w:r>
            <w:r>
              <w:rPr>
                <w:rFonts w:ascii="Times New Roman" w:eastAsia="Times New Roman" w:hAnsi="Times New Roman" w:cs="Times New Roman"/>
                <w:i/>
                <w:iCs/>
                <w:kern w:val="0"/>
                <w:sz w:val="20"/>
                <w:szCs w:val="20"/>
                <w:lang w:eastAsia="hr-HR"/>
                <w14:ligatures w14:val="none"/>
              </w:rPr>
              <w:t>BS </w:t>
            </w:r>
            <w:r>
              <w:rPr>
                <w:rFonts w:ascii="Times New Roman" w:eastAsia="Times New Roman" w:hAnsi="Times New Roman" w:cs="Times New Roman"/>
                <w:kern w:val="0"/>
                <w:sz w:val="20"/>
                <w:szCs w:val="20"/>
                <w:lang w:eastAsia="hr-HR"/>
                <w14:ligatures w14:val="none"/>
              </w:rPr>
              <w:t>se preuzima iz publikacije DZS-a: </w:t>
            </w:r>
            <w:r>
              <w:rPr>
                <w:rFonts w:ascii="Times New Roman" w:eastAsia="Times New Roman" w:hAnsi="Times New Roman" w:cs="Times New Roman"/>
                <w:i/>
                <w:iCs/>
                <w:kern w:val="0"/>
                <w:sz w:val="20"/>
                <w:szCs w:val="20"/>
                <w:lang w:eastAsia="hr-HR"/>
                <w14:ligatures w14:val="none"/>
              </w:rPr>
              <w:t>Gradovi i općine u statistici ~ Stanovništvo – procjena i prirodno kretanje </w:t>
            </w:r>
            <w:r>
              <w:rPr>
                <w:rFonts w:ascii="Times New Roman" w:eastAsia="Times New Roman" w:hAnsi="Times New Roman" w:cs="Times New Roman"/>
                <w:kern w:val="0"/>
                <w:sz w:val="20"/>
                <w:szCs w:val="20"/>
                <w:lang w:eastAsia="hr-HR"/>
                <w14:ligatures w14:val="none"/>
              </w:rPr>
              <w:t>u kojoj je po jedinicama lokalne samouprave objavljena procjena broja stanovnika krajem godine, za kojeg se može pretpostaviti da je jednak procjeni broja stanovnika na početku sljedeće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BN – </w:t>
            </w:r>
            <w:r>
              <w:rPr>
                <w:rFonts w:ascii="Times New Roman" w:eastAsia="Times New Roman" w:hAnsi="Times New Roman" w:cs="Times New Roman"/>
                <w:kern w:val="0"/>
                <w:sz w:val="20"/>
                <w:szCs w:val="20"/>
                <w:lang w:eastAsia="hr-HR"/>
                <w14:ligatures w14:val="none"/>
              </w:rPr>
              <w:t>broj noćenja u smještajnim kapacitetima u destinaciji u godini. Podataka se dobije iz sustava eVisitor kao broj noćenja u smještajnim kapacitetima u destinaciji između prvog i zadnjeg dana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N</w:t>
            </w:r>
            <w:r>
              <w:rPr>
                <w:rFonts w:ascii="Times New Roman" w:eastAsia="Times New Roman" w:hAnsi="Times New Roman" w:cs="Times New Roman"/>
                <w:i/>
                <w:iCs/>
                <w:kern w:val="0"/>
                <w:sz w:val="20"/>
                <w:szCs w:val="20"/>
                <w:vertAlign w:val="subscript"/>
                <w:lang w:eastAsia="hr-HR"/>
                <w14:ligatures w14:val="none"/>
              </w:rPr>
              <w:t>UK</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ukupan broj nesreća sa smrtnim ishodom na području destinacije u promatranoj godini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N</w:t>
            </w:r>
            <w:r>
              <w:rPr>
                <w:rFonts w:ascii="Times New Roman" w:eastAsia="Times New Roman" w:hAnsi="Times New Roman" w:cs="Times New Roman"/>
                <w:i/>
                <w:iCs/>
                <w:kern w:val="0"/>
                <w:sz w:val="20"/>
                <w:szCs w:val="20"/>
                <w:vertAlign w:val="subscript"/>
                <w:lang w:eastAsia="hr-HR"/>
                <w14:ligatures w14:val="none"/>
              </w:rPr>
              <w:t>LS</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nesreća sa smrtnim ishodom na području destinacije u promatranoj godini u kojima su sudjelovali lokalni stanovnici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N</w:t>
            </w:r>
            <w:r>
              <w:rPr>
                <w:rFonts w:ascii="Times New Roman" w:eastAsia="Times New Roman" w:hAnsi="Times New Roman" w:cs="Times New Roman"/>
                <w:i/>
                <w:iCs/>
                <w:kern w:val="0"/>
                <w:sz w:val="20"/>
                <w:szCs w:val="20"/>
                <w:vertAlign w:val="subscript"/>
                <w:lang w:eastAsia="hr-HR"/>
                <w14:ligatures w14:val="none"/>
              </w:rPr>
              <w:t>T</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nesreća sa smrtnim ishodom na području jedinice lokalne samouprave u promatranoj godini u kojima su sudjelovale osobe koje ne stanuju na području destinacije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Broj prometnih nesreća sa smrtnim ishodom na 1000 noćenja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N</m:t>
                        </m:r>
                      </m:e>
                      <m:sub>
                        <m:r>
                          <w:rPr>
                            <w:rFonts w:ascii="Cambria Math" w:eastAsia="Times New Roman" w:hAnsi="Cambria Math" w:cs="Times New Roman"/>
                            <w:kern w:val="0"/>
                            <w:sz w:val="20"/>
                            <w:szCs w:val="20"/>
                            <w:lang w:eastAsia="hr-HR"/>
                            <w14:ligatures w14:val="none"/>
                          </w:rPr>
                          <m:t>Uk</m:t>
                        </m:r>
                      </m:sub>
                    </m:sSub>
                    <m:r>
                      <w:rPr>
                        <w:rFonts w:ascii="Cambria Math" w:eastAsia="Times New Roman" w:hAnsi="Cambria Math" w:cs="Times New Roman"/>
                        <w:kern w:val="0"/>
                        <w:sz w:val="20"/>
                        <w:szCs w:val="20"/>
                        <w:lang w:eastAsia="hr-HR"/>
                        <w14:ligatures w14:val="none"/>
                      </w:rPr>
                      <m:t xml:space="preserve"> × 1000</m:t>
                    </m:r>
                  </m:num>
                  <m:den>
                    <m:d>
                      <m:dPr>
                        <m:ctrlPr>
                          <w:rPr>
                            <w:rFonts w:ascii="Cambria Math" w:eastAsia="Times New Roman" w:hAnsi="Cambria Math" w:cs="Times New Roman"/>
                            <w:i/>
                            <w:kern w:val="0"/>
                            <w:sz w:val="20"/>
                            <w:szCs w:val="20"/>
                            <w:lang w:eastAsia="hr-HR"/>
                            <w14:ligatures w14:val="none"/>
                          </w:rPr>
                        </m:ctrlPr>
                      </m:dPr>
                      <m:e>
                        <m:r>
                          <w:rPr>
                            <w:rFonts w:ascii="Cambria Math" w:eastAsia="Times New Roman" w:hAnsi="Cambria Math" w:cs="Times New Roman"/>
                            <w:kern w:val="0"/>
                            <w:sz w:val="20"/>
                            <w:szCs w:val="20"/>
                            <w:lang w:eastAsia="hr-HR"/>
                            <w14:ligatures w14:val="none"/>
                          </w:rPr>
                          <m:t>BS × 365 + BN</m:t>
                        </m:r>
                      </m:e>
                    </m:d>
                  </m:den>
                </m:f>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Uz oznake </w:t>
            </w:r>
            <w:r>
              <w:rPr>
                <w:rFonts w:ascii="Times New Roman" w:eastAsia="Times New Roman" w:hAnsi="Times New Roman" w:cs="Times New Roman"/>
                <w:i/>
                <w:iCs/>
                <w:kern w:val="0"/>
                <w:sz w:val="20"/>
                <w:szCs w:val="20"/>
                <w:lang w:eastAsia="hr-HR"/>
                <w14:ligatures w14:val="none"/>
              </w:rPr>
              <w:t>Broj prometnih nesreća sa smrtnim ishodom (lokalni) </w:t>
            </w:r>
            <w:r>
              <w:rPr>
                <w:rFonts w:ascii="Times New Roman" w:eastAsia="Times New Roman" w:hAnsi="Times New Roman" w:cs="Times New Roman"/>
                <w:kern w:val="0"/>
                <w:sz w:val="20"/>
                <w:szCs w:val="20"/>
                <w:lang w:eastAsia="hr-HR"/>
                <w14:ligatures w14:val="none"/>
              </w:rPr>
              <w:t>za podpokazatelj 1 te </w:t>
            </w:r>
            <w:r>
              <w:rPr>
                <w:rFonts w:ascii="Times New Roman" w:eastAsia="Times New Roman" w:hAnsi="Times New Roman" w:cs="Times New Roman"/>
                <w:i/>
                <w:iCs/>
                <w:kern w:val="0"/>
                <w:sz w:val="20"/>
                <w:szCs w:val="20"/>
                <w:lang w:eastAsia="hr-HR"/>
                <w14:ligatures w14:val="none"/>
              </w:rPr>
              <w:t>Broj prometnih nesreća sa smrtnim ishodom (ostali) </w:t>
            </w:r>
            <w:r>
              <w:rPr>
                <w:rFonts w:ascii="Times New Roman" w:eastAsia="Times New Roman" w:hAnsi="Times New Roman" w:cs="Times New Roman"/>
                <w:kern w:val="0"/>
                <w:sz w:val="20"/>
                <w:szCs w:val="20"/>
                <w:lang w:eastAsia="hr-HR"/>
                <w14:ligatures w14:val="none"/>
              </w:rPr>
              <w:t>za podpokazatelj 2, formule su:</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Broj prometnih nesreća sa smrtnim ishodom (lokalni)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N</m:t>
                        </m:r>
                      </m:e>
                      <m:sub>
                        <m:r>
                          <w:rPr>
                            <w:rFonts w:ascii="Cambria Math" w:eastAsia="Times New Roman" w:hAnsi="Cambria Math" w:cs="Times New Roman"/>
                            <w:kern w:val="0"/>
                            <w:sz w:val="20"/>
                            <w:szCs w:val="20"/>
                            <w:lang w:eastAsia="hr-HR"/>
                            <w14:ligatures w14:val="none"/>
                          </w:rPr>
                          <m:t>LS</m:t>
                        </m:r>
                      </m:sub>
                    </m:sSub>
                    <m:r>
                      <w:rPr>
                        <w:rFonts w:ascii="Cambria Math" w:eastAsia="Times New Roman" w:hAnsi="Cambria Math" w:cs="Times New Roman"/>
                        <w:kern w:val="0"/>
                        <w:sz w:val="20"/>
                        <w:szCs w:val="20"/>
                        <w:lang w:eastAsia="hr-HR"/>
                        <w14:ligatures w14:val="none"/>
                      </w:rPr>
                      <m:t xml:space="preserve"> × 1000</m:t>
                    </m:r>
                  </m:num>
                  <m:den>
                    <m:r>
                      <w:rPr>
                        <w:rFonts w:ascii="Cambria Math" w:eastAsia="Times New Roman" w:hAnsi="Cambria Math" w:cs="Times New Roman"/>
                        <w:kern w:val="0"/>
                        <w:sz w:val="20"/>
                        <w:szCs w:val="20"/>
                        <w:lang w:eastAsia="hr-HR"/>
                        <w14:ligatures w14:val="none"/>
                      </w:rPr>
                      <m:t xml:space="preserve">BS × 365 </m:t>
                    </m:r>
                  </m:den>
                </m:f>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Broj prometnih nesreća sa smrtnim ishodom (ostali)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N</m:t>
                        </m:r>
                      </m:e>
                      <m:sub>
                        <m:r>
                          <w:rPr>
                            <w:rFonts w:ascii="Cambria Math" w:eastAsia="Times New Roman" w:hAnsi="Cambria Math" w:cs="Times New Roman"/>
                            <w:kern w:val="0"/>
                            <w:sz w:val="20"/>
                            <w:szCs w:val="20"/>
                            <w:lang w:eastAsia="hr-HR"/>
                            <w14:ligatures w14:val="none"/>
                          </w:rPr>
                          <m:t>T</m:t>
                        </m:r>
                      </m:sub>
                    </m:sSub>
                    <m:r>
                      <w:rPr>
                        <w:rFonts w:ascii="Cambria Math" w:eastAsia="Times New Roman" w:hAnsi="Cambria Math" w:cs="Times New Roman"/>
                        <w:kern w:val="0"/>
                        <w:sz w:val="20"/>
                        <w:szCs w:val="20"/>
                        <w:lang w:eastAsia="hr-HR"/>
                        <w14:ligatures w14:val="none"/>
                      </w:rPr>
                      <m:t xml:space="preserve"> × 1000</m:t>
                    </m:r>
                  </m:num>
                  <m:den>
                    <m:r>
                      <w:rPr>
                        <w:rFonts w:ascii="Cambria Math" w:eastAsia="Times New Roman" w:hAnsi="Cambria Math" w:cs="Times New Roman"/>
                        <w:kern w:val="0"/>
                        <w:sz w:val="20"/>
                        <w:szCs w:val="20"/>
                        <w:lang w:eastAsia="hr-HR"/>
                        <w14:ligatures w14:val="none"/>
                      </w:rPr>
                      <m:t xml:space="preserve">BN </m:t>
                    </m:r>
                  </m:den>
                </m:f>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6093"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Godišnje</w:t>
            </w:r>
          </w:p>
        </w:tc>
      </w:tr>
      <w:tr w:rsidR="00702E3C">
        <w:tc>
          <w:tcPr>
            <w:tcW w:w="6093"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w:t>
            </w:r>
          </w:p>
        </w:tc>
        <w:tc>
          <w:tcPr>
            <w:tcW w:w="8074" w:type="dxa"/>
            <w:gridSpan w:val="6"/>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nije prikladan za destinacije kroz koje prolaze važne prometnice poput autocesta i glavnih magistralnih pravaca. Međusobni odnos podpokazatelja i glavnog pokazatelja može naznačiti probleme u prometu zbog turizma. Obzirom da u velikom broju destinacija će vrijednost pokazatelja biti 0, možda ima smisla promatrati pokazatelj ali za duže razdoblje (npr. trogodišnje ili petogodišnje), kumulativno ili u prosjeku.</w:t>
            </w:r>
          </w:p>
        </w:tc>
      </w:tr>
      <w:tr w:rsidR="00702E3C">
        <w:tc>
          <w:tcPr>
            <w:tcW w:w="6093"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49"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0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09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w:t>
            </w:r>
          </w:p>
        </w:tc>
        <w:tc>
          <w:tcPr>
            <w:tcW w:w="20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7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195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9"/>
        <w:gridCol w:w="3360"/>
        <w:gridCol w:w="3445"/>
        <w:gridCol w:w="2671"/>
        <w:gridCol w:w="2672"/>
      </w:tblGrid>
      <w:tr w:rsidR="00702E3C">
        <w:tc>
          <w:tcPr>
            <w:tcW w:w="2019"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48"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Broj podnesenih prijava zbog buke uzrokovane turističkim aktivnostima (SSD-5)</w:t>
            </w:r>
          </w:p>
        </w:tc>
      </w:tr>
      <w:tr w:rsidR="00702E3C">
        <w:tc>
          <w:tcPr>
            <w:tcW w:w="2019"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Broj podnesenih prijava zbog buke uzrokovane turističkim aktivnostima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Strategijom i Nacionalnim planom</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broj podnesenih prijava zbog buke koja je uzrokovana nekom od turističkih aktivnosti na razini destinacije, iskazan po mjesecima i ukupno u kalendarskoj godini.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Buka okoliša je neželjen ili po ljudsko zdravlje i okoliš štetan zvuk u vanjskome prostoru izazvan ljudskom aktivnošću, prijevoznim sredstvima svih oblika prometa, kao i postrojenja i zahvata u okolišu (npr. izgradnja turističkih objekata).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Indikatorom buke Lden (dan-večer-noć), najveće dopuštene vrijednosti &gt;55 dB, ocjenjuje se ukupno smetanje bukom, dok se indikatorom noćne buke Lnight, najveće dopuštene vrijednosti vrijednost &gt;50 dB, ocjenjuje ometanje sna. Zaštitu od buke obvezni su provoditi i osigurati njezino provođenje tijela državne uprave, jedinice lokalne i područne (regionalne) samouprave te pravne i fizičke osobe koje obavljaju registrirane djelatnosti. Inspekcijski nadzor nad primjenom Zakona i propisa donesenih na temelju Zakona obavljaju sanitarni inspektori Državnog inspektorata.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N/P</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podnesenih prijava lokalnog stanovništva ili turista zbog buke koja je uzrokovana nekom od turističkih aktivnosti na razini destinacije, temeljem posebnog zakona kojim se uređuje zaštita od buke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N/P</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Državni inspektorat, Sanitarna inspekcija, ispostava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5379"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izrađuje temeljem podataka o broju podnesenih prijava zbog buke uzrokovane turističkim aktivnostima</w:t>
            </w:r>
          </w:p>
        </w:tc>
      </w:tr>
      <w:tr w:rsidR="00702E3C">
        <w:tc>
          <w:tcPr>
            <w:tcW w:w="5379"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78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5379"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344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6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67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5379"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w:t>
            </w:r>
          </w:p>
        </w:tc>
        <w:tc>
          <w:tcPr>
            <w:tcW w:w="344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7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918"/>
        <w:gridCol w:w="2164"/>
        <w:gridCol w:w="3905"/>
        <w:gridCol w:w="3098"/>
        <w:gridCol w:w="2941"/>
      </w:tblGrid>
      <w:tr w:rsidR="00702E3C">
        <w:tc>
          <w:tcPr>
            <w:tcW w:w="1681"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345"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Remećenje javnog reda i mira prouzrokovano turističkom aktivnošću (SSD-6)</w:t>
            </w:r>
          </w:p>
        </w:tc>
      </w:tr>
      <w:tr w:rsidR="00702E3C">
        <w:tc>
          <w:tcPr>
            <w:tcW w:w="1681"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Redovito prikupljanje, praćenje, bilježenje i javno izvješćivanje podataka o željama, zabrinutostima i zadovoljstvu stanovnika destinacijskim menadžmentom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ciljevima održivog razvoja</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Odgovoriti na trendove u razvoju turističkih destinacija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Pokazatelj daje informaciju o opterećenju lokalne zajednice radi remećenja javnog reda i mira prouzrokovanog turističkom aktivnošću u destinaciji temeljem prekršajnih postupaka (prekršajni nalozi PU destinacije i optužni prijedlozi </w:t>
            </w:r>
            <w:r>
              <w:rPr>
                <w:rFonts w:ascii="Times New Roman" w:eastAsia="Times New Roman" w:hAnsi="Times New Roman" w:cs="Times New Roman"/>
                <w:kern w:val="0"/>
                <w:sz w:val="20"/>
                <w:szCs w:val="20"/>
                <w:lang w:eastAsia="hr-HR"/>
                <w14:ligatures w14:val="none"/>
              </w:rPr>
              <w:lastRenderedPageBreak/>
              <w:t>oštećenih osoba) tijekom mjeseca u kojem je, u odnosu na cjelokupnu kalendarsku godinu, evidentiran najveći broj turista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Prekršaji protiv javnog reda i mira su djela kojima se na nedozvoljen način remeti mir, rad ili normalan način života građana, kao i druga djela sukladno propisu kojim se uređuju prekršaji protiv javnog reda i mira. Policija može pokrenuti prekršajni postupak izdavanjem prekršajnog naloga ili podnošenjem optužnog prijedloga, a osobe oštećene prekršajem mogu same pokrenuti prekršajni postupak podnošenjem optužnog prijedloga pred mjesno nadležnim Općinskim sudom ili Općinskim prekršajnim sudom.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prati udio (%) broja prekršajnih postupaka u destinaciji radi remećenja javnog reda i mira prouzrokovano turističkom aktivnošću koji su evidentiranu u PU i/ili u Općinskom sudi ili Općinskom prekršajnom sudu destinacije, u tri mjeseca s najvećim brojem turista u godini. Vođenje evidencije o prekršajnim nalozima dužno je voditi tijelo državne uprave nadležno za unutarnje poslove (MUP), odnosno policijska uprava (PU) u jedinicama lokalne i područne (regionalne) samouprave JL(R)S. Vođenje evidencije o prekršajnim nalozima i podnesenim optužnim prijedlozima oštećenih osoba dužan je voditi Općinski sud ili Općinski prekršajni sud u jedinicama lokalne i područne (regionalne) samouprave JL(R)S.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Napomena: prikuplja se isključivo broj prekršajnih postupaka (naloga PU i optužnih prijedloga oštećene osobe), dok se informacije o sadržaju postupaka ne prikupljaju.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N/P</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Ukupan broj prekršajnih postupaka protiv javnog reda i mira, koje je utvrdila nadležna PU sukladno propisu kojim se uređuju prekršaji protiv javnog reda i mira u mjesecu s najvećim brojem turista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prekršajnih postupaka protiv javnog reda i mira uzrokovanih turističkom djelatnosti, koje je utvrdila nadležna PU sukladno propisu kojim se uređuju prekršaji protiv javnog reda i mira u mjesecu s najvećim brojem turista.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Općinski sud ili Općinski prekršajni sud / MUP, nadležna PU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Općinski sud ili Općinski prekršajni sud / MUP, nadležna PU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28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Svake dvije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Svake dvije godine</w:t>
            </w:r>
          </w:p>
        </w:tc>
      </w:tr>
      <w:tr w:rsidR="00702E3C">
        <w:tc>
          <w:tcPr>
            <w:tcW w:w="3961"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Metodologija izračuna pokazatelja</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izračunava kao udio broja prekršajnih postupaka protiv javnog reda i mira uzrokovanih turističkom djelatnosti u destinaciji u odnosu na ukupan broj prekršajnih postupaka radi remećenja javnog reda i mira u destinaciji u mjesecu u kojem je evidentiran najveći broj noćenja turista tijekom jedne kalendarske godine:</w:t>
            </w:r>
          </w:p>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prekršaja radi remećenja javnog reda i mira u destinaciji uzrokovano turističkom aktivnosti </m:t>
                </m:r>
              </m:oMath>
            </m:oMathPara>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 xml:space="preserve">broj prekršajnih postupaka protiv javnog reda i mira radi turističke djelatnosti u destinaciji </m:t>
                    </m:r>
                  </m:num>
                  <m:den>
                    <m:r>
                      <w:rPr>
                        <w:rFonts w:ascii="Cambria Math" w:eastAsia="Times New Roman" w:hAnsi="Cambria Math" w:cs="Times New Roman"/>
                        <w:kern w:val="0"/>
                        <w:sz w:val="20"/>
                        <w:szCs w:val="20"/>
                        <w:lang w:eastAsia="hr-HR"/>
                        <w14:ligatures w14:val="none"/>
                      </w:rPr>
                      <m:t xml:space="preserve">ukupan broj prekršajnih postupaka protiv javnog reda i mira u destinaciji </m:t>
                    </m:r>
                  </m:den>
                </m:f>
                <m:r>
                  <w:rPr>
                    <w:rFonts w:ascii="Cambria Math" w:eastAsia="Times New Roman" w:hAnsi="Cambria Math" w:cs="Times New Roman"/>
                    <w:kern w:val="0"/>
                    <w:sz w:val="20"/>
                    <w:szCs w:val="20"/>
                    <w:lang w:eastAsia="hr-HR"/>
                    <w14:ligatures w14:val="none"/>
                  </w:rPr>
                  <m:t xml:space="preserve"> ×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3961"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3961"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Potrebno je u nadležnoj PU/ sudu uspostaviti tijek podataka za mjesec u kojem je evidentiran najveći broj noćenja turista tijekom kalendarske godine. Tijek podataka pri PU/sudu je uspostavljen za ukupan broj prekršaja na mjesečnoj razini. Destinacijom se može smatrati više JL(R)S, koje imaju zasebne PU/sud te se u tom slučaju podaci objedinjuju za razinu destinacije. Nema podatkovnog jaza.</w:t>
            </w:r>
          </w:p>
        </w:tc>
      </w:tr>
      <w:tr w:rsidR="00702E3C">
        <w:tc>
          <w:tcPr>
            <w:tcW w:w="3961"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390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313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302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3961"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w:t>
            </w:r>
          </w:p>
        </w:tc>
        <w:tc>
          <w:tcPr>
            <w:tcW w:w="100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4B1C83">
      <w:pPr>
        <w:pStyle w:val="Naslov1"/>
        <w:numPr>
          <w:ilvl w:val="0"/>
          <w:numId w:val="23"/>
        </w:numPr>
        <w:rPr>
          <w:rFonts w:ascii="Times New Roman" w:eastAsia="Times New Roman" w:hAnsi="Times New Roman" w:cs="Times New Roman"/>
          <w:b/>
          <w:bCs/>
          <w:lang w:eastAsia="hr-HR"/>
        </w:rPr>
      </w:pPr>
      <w:bookmarkStart w:id="100" w:name="_Toc217040728"/>
      <w:r>
        <w:rPr>
          <w:rFonts w:ascii="Times New Roman" w:eastAsia="Times New Roman" w:hAnsi="Times New Roman" w:cs="Times New Roman"/>
          <w:b/>
          <w:bCs/>
          <w:lang w:eastAsia="hr-HR"/>
        </w:rPr>
        <w:t>SPECIFIČNI POKAZATELJI ODRŽIVOSTI KOJI MJERE UTJECAJ TURIZMA NA OKOLIŠNE ASPEKTE ODRŽIVOSTI</w:t>
      </w:r>
      <w:bookmarkEnd w:id="100"/>
    </w:p>
    <w:p w:rsidR="00702E3C" w:rsidRDefault="004B1C83">
      <w:pPr>
        <w:pStyle w:val="Naslov2"/>
        <w:numPr>
          <w:ilvl w:val="1"/>
          <w:numId w:val="23"/>
        </w:numPr>
        <w:rPr>
          <w:rFonts w:ascii="Times New Roman" w:eastAsia="Times New Roman" w:hAnsi="Times New Roman" w:cs="Times New Roman"/>
          <w:lang w:eastAsia="hr-HR"/>
        </w:rPr>
      </w:pPr>
      <w:bookmarkStart w:id="101" w:name="_Toc217040729"/>
      <w:r>
        <w:rPr>
          <w:rFonts w:ascii="Times New Roman" w:eastAsia="Times New Roman" w:hAnsi="Times New Roman" w:cs="Times New Roman"/>
          <w:lang w:eastAsia="hr-HR"/>
        </w:rPr>
        <w:t>Upravljanje vodnim resursima</w:t>
      </w:r>
      <w:bookmarkEnd w:id="101"/>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903"/>
        <w:gridCol w:w="3729"/>
        <w:gridCol w:w="2858"/>
        <w:gridCol w:w="2800"/>
        <w:gridCol w:w="2736"/>
      </w:tblGrid>
      <w:tr w:rsidR="00702E3C">
        <w:tc>
          <w:tcPr>
            <w:tcW w:w="1864"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2"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turističkih poslovnih subjekata koji poduzimaju akcije za smanjenje potrošnje vode (SUVR-1)</w:t>
            </w:r>
          </w:p>
        </w:tc>
      </w:tr>
      <w:tr w:rsidR="00702E3C">
        <w:tc>
          <w:tcPr>
            <w:tcW w:w="1864"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58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indikatora s međunarodnim sustavima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(D.5.2.) Postotak turističkih poslovnih subjekata koji poduzimaju akcije za smanjenje potrošnje vode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vodama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6 Čista, pitka voda i higijenski uvjeti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4. Smanjenje negativnog međuodnosa turizma i klime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prati udio turističkih poslovnih subjekata prema strukturi poslovnih subjekata po djelatnostima: hrana i piće, prijevoz, smještaj (komercijalni), putničke agencije i iznajmljivanje vozila, koja u svom poslovanju poduzimaju akcije za smanjenje potrošnje vode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Mjera smanjenja potrošnje vode podrazumijeva implementaciju sustava, odnosno uređaja koji kontinuirano smanjuju potrošnju vode za: piće i kuhanje, pranje posuđa, čišćenje, higijenu uključujuću tuširanje i kupanje, ispiranje toaleta, bazene, navodnjavanje zelenih površina.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Mjera se dokazuje specifikacijom i/ili certifikatom uređaja (npr. EU water label https://uwla.eu/), za npr. toalete sa spremnicima malog kapaciteta, slavine i tuševe niskog protoka te smanjenjem količine potrošene vode tijekom mjesečnih i jednogodišnjeg razdoblja i/ili novčanim iznosom (računom) za potrošnju vode.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Ukupan broj turističkih poslovnih subjekata u destinaciji po djelatnostima: hrana i piće, prijevoz, smještaj (komercijalni), turističke agencije i iznajmljivanje vozila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turističkih poslovnih subjekata po djelatnostima: hrana i piće, prijevoz, smještaj (komercijalni), turističke agencije i iznajmljivanje vozila koja poduzimaju mjere za smanjivanje potrošnje vode u svom poslovanju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nije dostupan, nužno je prikupljanje podataka primarnim istraživanjem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Anketa gospodarskih subjekata za ukupan broj turističkih poslovnih subjekata u destinaciji po djelatnostima: hrana i piće, prijevoz, smještaj (komercijalni), putničke agencije i iznajmljivanje vozila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Anketa gospodarskih subjekata za ukupan broj turističkih poslovnih subjekata u destinaciji po djelatnostima: hrana i piće, prijevoz, smještaj (komercijalni), turističke agencije i iznajmljivanje vozila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(poveznica na prijedlog)</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Potrebno je dizajnirati anketu za provedbu primarnih istraživanja za broj poslovnih subjekata aktivnih u sektoru turizma prema turističkim djelatnostima: hrana i piće, prijevoz, smještaj (komercijalni), turističke agencije i iznajmljivanje vozila (nema postojećeg prijedloga primarnog istraživanja)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Svake dvije godine (opcionalno mjesečno, radi uvida u predsezonske pripreme u kojima se očekuje veća potrošnja vode za pranje i čišćenje, osobito u komercijalnom smještaju).</w:t>
            </w:r>
          </w:p>
        </w:tc>
      </w:tr>
      <w:tr w:rsidR="00702E3C">
        <w:tc>
          <w:tcPr>
            <w:tcW w:w="5452"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aktivnih turističkih poslovnih subjekata prema strukturi poslovnih subjekata po djelatnostima: hrana i piće, prijevoz, smještaj (komercijalni), turističke agencije i iznajmljivanje vozila u destinaciji koja su implementirala mjere za smanjenje potrošnje vode u odnosu na ukupan broj turističkih poslovnih subjekata u destinaciji.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BA – </w:t>
            </w:r>
            <w:r>
              <w:rPr>
                <w:rFonts w:ascii="Times New Roman" w:eastAsia="Times New Roman" w:hAnsi="Times New Roman" w:cs="Times New Roman"/>
                <w:kern w:val="0"/>
                <w:sz w:val="20"/>
                <w:szCs w:val="20"/>
                <w:lang w:eastAsia="hr-HR"/>
                <w14:ligatures w14:val="none"/>
              </w:rPr>
              <w:t>broj turističkih poslovnih subjekata u destinaciji u djelatnostima hrana i piće, prijevoz, smještaj (komercijalni), turističke agencije i iznajmljivanje vozila koja poduzimaju mjere za smanjivanje potrošnje vode u svom poslovanju</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BT – </w:t>
            </w:r>
            <w:r>
              <w:rPr>
                <w:rFonts w:ascii="Times New Roman" w:eastAsia="Times New Roman" w:hAnsi="Times New Roman" w:cs="Times New Roman"/>
                <w:kern w:val="0"/>
                <w:sz w:val="20"/>
                <w:szCs w:val="20"/>
                <w:lang w:eastAsia="hr-HR"/>
                <w14:ligatures w14:val="none"/>
              </w:rPr>
              <w:t>ukupan broj turističkih poslovnih subjekata u destinaciji u djelatnostima hrana i piće, prijevoz, smještaj (komercijalni), turističke agencije i iznajmljivanje vozila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turističkih poduzeća koja poduzimaju akcije za smanjenje potrošnje vode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BA</m:t>
                    </m:r>
                  </m:num>
                  <m:den>
                    <m:r>
                      <w:rPr>
                        <w:rFonts w:ascii="Cambria Math" w:eastAsia="Times New Roman" w:hAnsi="Cambria Math" w:cs="Times New Roman"/>
                        <w:kern w:val="0"/>
                        <w:sz w:val="20"/>
                        <w:szCs w:val="20"/>
                        <w:lang w:eastAsia="hr-HR"/>
                        <w14:ligatures w14:val="none"/>
                      </w:rPr>
                      <m:t>BT</m:t>
                    </m:r>
                  </m:den>
                </m:f>
                <m:r>
                  <w:rPr>
                    <w:rFonts w:ascii="Cambria Math" w:eastAsia="Times New Roman" w:hAnsi="Cambria Math" w:cs="Times New Roman"/>
                    <w:kern w:val="0"/>
                    <w:sz w:val="20"/>
                    <w:szCs w:val="20"/>
                    <w:lang w:eastAsia="hr-HR"/>
                    <w14:ligatures w14:val="none"/>
                  </w:rPr>
                  <m:t xml:space="preserve"> ×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5452"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5452"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budući da prema postojećoj strukturi poslovnih subjekata (DZS, prema aktivnosti i područjima važećeg NKD-a), nije moguće napraviti cjelovit obuhvat podataka potrebnih za izradu pokazatelja na razini svih turističkih djelatnosti u destinaciji – produžuje proces.</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moguće računati i za poslovnih subjekata koja su unutar iste djelatnosti, samo treba prilagoditi način izračuna parametra </w:t>
            </w:r>
            <w:r>
              <w:rPr>
                <w:rFonts w:ascii="Times New Roman" w:eastAsia="Times New Roman" w:hAnsi="Times New Roman" w:cs="Times New Roman"/>
                <w:i/>
                <w:iCs/>
                <w:kern w:val="0"/>
                <w:sz w:val="20"/>
                <w:szCs w:val="20"/>
                <w:lang w:eastAsia="hr-HR"/>
                <w14:ligatures w14:val="none"/>
              </w:rPr>
              <w:t>BA </w:t>
            </w:r>
            <w:r>
              <w:rPr>
                <w:rFonts w:ascii="Times New Roman" w:eastAsia="Times New Roman" w:hAnsi="Times New Roman" w:cs="Times New Roman"/>
                <w:kern w:val="0"/>
                <w:sz w:val="20"/>
                <w:szCs w:val="20"/>
                <w:lang w:eastAsia="hr-HR"/>
                <w14:ligatures w14:val="none"/>
              </w:rPr>
              <w:t>i </w:t>
            </w:r>
            <w:r>
              <w:rPr>
                <w:rFonts w:ascii="Times New Roman" w:eastAsia="Times New Roman" w:hAnsi="Times New Roman" w:cs="Times New Roman"/>
                <w:i/>
                <w:iCs/>
                <w:kern w:val="0"/>
                <w:sz w:val="20"/>
                <w:szCs w:val="20"/>
                <w:lang w:eastAsia="hr-HR"/>
                <w14:ligatures w14:val="none"/>
              </w:rPr>
              <w:t>BT.</w:t>
            </w:r>
          </w:p>
        </w:tc>
      </w:tr>
      <w:tr w:rsidR="00702E3C">
        <w:tc>
          <w:tcPr>
            <w:tcW w:w="545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Početna vrijednost 2025.</w:t>
            </w:r>
          </w:p>
        </w:tc>
        <w:tc>
          <w:tcPr>
            <w:tcW w:w="28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545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857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974"/>
        <w:gridCol w:w="3980"/>
        <w:gridCol w:w="2047"/>
        <w:gridCol w:w="2018"/>
        <w:gridCol w:w="2007"/>
        <w:gridCol w:w="2000"/>
      </w:tblGrid>
      <w:tr w:rsidR="00702E3C">
        <w:tc>
          <w:tcPr>
            <w:tcW w:w="1941"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85"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Sustav za pravovremenu reakciju na probleme s kvalitetom vode (SUVR-2)</w:t>
            </w:r>
          </w:p>
        </w:tc>
      </w:tr>
      <w:tr w:rsidR="00702E3C">
        <w:tc>
          <w:tcPr>
            <w:tcW w:w="1941"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86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indikatora s međunarodnim sustavima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Sustav za pravovremenu reakciju na probleme s kvalitetom vode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vodama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6 Čista, pitka voda i higijenski uvjeti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4. Smanjenje negativnog međuodnosa turizma i klime;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informacije o uspostavi sustavu koji je uspostavljen u destinaciji za ispitivanje kvalitete i zdravstvene ispravnost vode za ljudsku potrošnju u sustavima javne vodoopskrbe, odnosno za reakciju na probleme s kvalitetom vode.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Pokazateljem se prati je li uspostavljen sustav izvještavanja u slučaju odstupanja od parametara za provjeru sukladnosti vode za ljudsku potrošnju, o monitoringu i službenoj kontroli zdravstvene ispravnosti vode za ljudsku potrošnju i izvještavanju u cilju zaštite ljudskog zdravlja od nepovoljnih utjecaja bilo kojeg onečišćenja vode za ljudsku potrošnju i osiguravanja zdravstvene ispravnosti vode za ljudsku potrošnju na području destinacije, temeljem zakonskih i podzakonskih propisa o vodi za ljudsku potrošnju (dostupno na: </w:t>
            </w:r>
            <w:hyperlink r:id="rId23" w:history="1">
              <w:r>
                <w:rPr>
                  <w:rStyle w:val="Hiperveza"/>
                  <w:rFonts w:ascii="Times New Roman" w:eastAsia="Times New Roman" w:hAnsi="Times New Roman" w:cs="Times New Roman"/>
                  <w:color w:val="auto"/>
                  <w:kern w:val="0"/>
                  <w:sz w:val="20"/>
                  <w:szCs w:val="20"/>
                  <w:lang w:eastAsia="hr-HR"/>
                  <w14:ligatures w14:val="none"/>
                </w:rPr>
                <w:t>https://zdravlje.gov.hr/UserDocsImages/2017%20Sanitarna/up7.pdf</w:t>
              </w:r>
            </w:hyperlink>
            <w:r>
              <w:rPr>
                <w:rFonts w:ascii="Times New Roman" w:eastAsia="Times New Roman" w:hAnsi="Times New Roman" w:cs="Times New Roman"/>
                <w:kern w:val="0"/>
                <w:sz w:val="20"/>
                <w:szCs w:val="20"/>
                <w:lang w:eastAsia="hr-HR"/>
                <w14:ligatures w14:val="none"/>
              </w:rPr>
              <w:t xml:space="preserve">) </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Informacija o uspostavi i obveznim postavkama sustava za pravovremenu reakciju na probleme s kvalitetom vode za ljudsku potrošnju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Ministarstvo zdravlja/ Hrvatski zavod za javno zdravstva i zavodi županija i Grada Zagreba/Hrvatske vode /Javni isporučitelji vodnih usluga javne vodoopskrbe u destinaciji (JLS) / Zavodi za javno zdravstvo na području destinacije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Jednom godišnje</w:t>
            </w:r>
          </w:p>
        </w:tc>
      </w:tr>
      <w:tr w:rsidR="00702E3C">
        <w:tc>
          <w:tcPr>
            <w:tcW w:w="5804"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informaciju o uspostavi sustava za postupanje u slučaju odstupanja od parametara za provjeru sukladnosti vode za ljudsku potrošnju</w:t>
            </w:r>
          </w:p>
        </w:tc>
      </w:tr>
      <w:tr w:rsidR="00702E3C">
        <w:tc>
          <w:tcPr>
            <w:tcW w:w="5804"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5804"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5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80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DA</w:t>
            </w:r>
          </w:p>
        </w:tc>
        <w:tc>
          <w:tcPr>
            <w:tcW w:w="82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4B1C83">
      <w:pPr>
        <w:pStyle w:val="Naslov2"/>
        <w:numPr>
          <w:ilvl w:val="1"/>
          <w:numId w:val="23"/>
        </w:numPr>
        <w:rPr>
          <w:rFonts w:ascii="Times New Roman" w:eastAsia="Times New Roman" w:hAnsi="Times New Roman" w:cs="Times New Roman"/>
          <w:lang w:eastAsia="hr-HR"/>
        </w:rPr>
      </w:pPr>
      <w:bookmarkStart w:id="102" w:name="_Toc217040730"/>
      <w:r>
        <w:rPr>
          <w:rFonts w:ascii="Times New Roman" w:eastAsia="Times New Roman" w:hAnsi="Times New Roman" w:cs="Times New Roman"/>
          <w:lang w:eastAsia="hr-HR"/>
        </w:rPr>
        <w:t>Gospodarenje otpadnim vodama</w:t>
      </w:r>
      <w:bookmarkEnd w:id="102"/>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2020"/>
        <w:gridCol w:w="2582"/>
        <w:gridCol w:w="2356"/>
        <w:gridCol w:w="2356"/>
        <w:gridCol w:w="2356"/>
        <w:gridCol w:w="2356"/>
      </w:tblGrid>
      <w:tr w:rsidR="00702E3C">
        <w:tc>
          <w:tcPr>
            <w:tcW w:w="2020"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06"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turističkih poslovnih subjekata koji koriste recikliranu vodu (SGOV-1)</w:t>
            </w:r>
          </w:p>
        </w:tc>
      </w:tr>
      <w:tr w:rsidR="00702E3C">
        <w:tc>
          <w:tcPr>
            <w:tcW w:w="2020"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indikatora s međunarodnim sustavima</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Udio turističkih poslovnih subjekata koji koriste recikliranu vodu (Percentage of tourism enterprises using recycled water D.5.3.)</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Gospodarenje otpadnim vodama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6 Čista, pitka voda i higijenski uvjeti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4. Smanjenje negativnog međuodnosa turizma i klime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informacije o mjerama za korištenje reciklirane vode, koje su u destinaciji implementirali gospodarski subjekti u turizmu u području gospodarenja otpadnim vodama, održivom upravljanju vodama i posredno u području kružnog gospodarstva.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prati uspješnost turističkih poslovnih subjekata u destinaciji u područjima gospodarenja otpadnim vodama i održivom upravljanju vodama i informacije o osiguranju kružnosti recikliranih (sivih i crnih) voda te posredno o smanjenju onečišćenja vodnih i morskih resursa, osobito u destinacijama u kojima su ti resursi osnova turističkih djelatnosti.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Napredni sustavi omogućuju recikliranje vode i ponovnu upotrebu, čime se smanjuje potrošnja svježe vode.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Sive vode predstavljaju sanitarne otpadne vode iz perilica, tuševa, umivaonika odnosno one koje nastaju za vrijeme pranja, zatim iz prostora namijenjenih pripremi hrane, skladištenju hrane i čišćenju namirnica, bazena sl.</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Crne vode su fekalne otpadne vode ljudskog i životinjskog porijekla, odnosno vode koje potječu iz toaleta te ostalih izlijeva takve vode. Crne i sive vode se prikupljaju u posebnim spremnicima, nakon čega se podvrgavaju obradi prije ispuštanja u okoliš.</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Ukupan broj poslovnih subjekata prema turističkim djelatnostima: hrana i piće, prijevoz, smještaj (komercijalni), putničke agencije i iznajmljivanje vozila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poslovnih subjekata prema turističkim djelatnostima: hrana i piće, prijevoz, smještaj (komercijalni), putničke agencije i iznajmljivanje vozila koja koriste recikliranu vodu,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Anketa gospodarskih subjekata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Anketa gospodarskih subjekata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Podatak nije dostupan, nužno je prikupljanje podataka primarnim istraživanjem gospodarskih subjekata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(poveznica na prijedlog)</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Potrebno je dizajnirati anketu za provedbu primarnih istraživanja radi utvrđivanja ukupnog broja gospodarskih subjekta u turizmu prema djelatnostima i broja gospodarskih subjekata u turizmu koja koriste recikliranu vodu,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5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Jednom godišnje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Jednom godišnje</w:t>
            </w:r>
          </w:p>
        </w:tc>
      </w:tr>
      <w:tr w:rsidR="00702E3C">
        <w:tc>
          <w:tcPr>
            <w:tcW w:w="4602"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turističkih poslovnih subjekata koji koriste recikliranu vodu, u odnosu na ukupan broj gospodarskih subjekta u turizmu prema turističkim djelatnostima: hrana i piće, prijevoz, smještaj (komercijalni), putničke agencije i iznajmljivanje vozila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BA – </w:t>
            </w:r>
            <w:r>
              <w:rPr>
                <w:rFonts w:ascii="Times New Roman" w:eastAsia="Times New Roman" w:hAnsi="Times New Roman" w:cs="Times New Roman"/>
                <w:kern w:val="0"/>
                <w:sz w:val="20"/>
                <w:szCs w:val="20"/>
                <w:lang w:eastAsia="hr-HR"/>
                <w14:ligatures w14:val="none"/>
              </w:rPr>
              <w:t>broj turističkih poslovnih subjekata u destinaciji u djelatnostima hrana i piće, prijevoz, smještaj (komercijalni), putničke agencije i iznajmljivanje vozila koja koriste recikliranu vodu, (2)</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BT – </w:t>
            </w:r>
            <w:r>
              <w:rPr>
                <w:rFonts w:ascii="Times New Roman" w:eastAsia="Times New Roman" w:hAnsi="Times New Roman" w:cs="Times New Roman"/>
                <w:kern w:val="0"/>
                <w:sz w:val="20"/>
                <w:szCs w:val="20"/>
                <w:lang w:eastAsia="hr-HR"/>
                <w14:ligatures w14:val="none"/>
              </w:rPr>
              <w:t>ukupan broj turističkih poslovnih subjekata u destinaciji u djelatnostima hrana i piće, prijevoz, smještaj (komercijalni), putničke agencije i iznajmljivanje vozila (30)</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turističkih poduzeća koja koriste recikiranu vodu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BA</m:t>
                    </m:r>
                  </m:num>
                  <m:den>
                    <m:r>
                      <w:rPr>
                        <w:rFonts w:ascii="Cambria Math" w:eastAsia="Times New Roman" w:hAnsi="Cambria Math" w:cs="Times New Roman"/>
                        <w:kern w:val="0"/>
                        <w:sz w:val="20"/>
                        <w:szCs w:val="20"/>
                        <w:lang w:eastAsia="hr-HR"/>
                        <w14:ligatures w14:val="none"/>
                      </w:rPr>
                      <m:t xml:space="preserve">BT </m:t>
                    </m:r>
                  </m:den>
                </m:f>
                <m:r>
                  <w:rPr>
                    <w:rFonts w:ascii="Cambria Math" w:eastAsia="Times New Roman" w:hAnsi="Cambria Math" w:cs="Times New Roman"/>
                    <w:kern w:val="0"/>
                    <w:sz w:val="20"/>
                    <w:szCs w:val="20"/>
                    <w:lang w:eastAsia="hr-HR"/>
                    <w14:ligatures w14:val="none"/>
                  </w:rPr>
                  <m:t xml:space="preserve"> × 100%</m:t>
                </m:r>
              </m:oMath>
            </m:oMathPara>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tc>
      </w:tr>
      <w:tr w:rsidR="00702E3C">
        <w:tc>
          <w:tcPr>
            <w:tcW w:w="4602"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4602"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produžuje proces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Alternativno za dizajn ankete (opće upute): Uz već postojeće sustave (npr. za prikupljanje i obradu kišnice, sustava za filtriranje i recikliranje vode iz kuhinja i sanitarnih čvorova) preporuča se u anketi definirati i najnovije inovativne tehnologije/rješenja koja se mogu implementirati kao mjera za recikliranje vode (npr. sustavi za kondenzaciju vode iz klima uređaja, tehnologije pročišćavanja bazenske vode, napredne desalinizacijske sustave sa značajno smanjenom količinom nusprodukata obrade voda i sl.). U tom smislu može se razviti cijeli sustav pod-pokazatelja koji daju udio gospodarskih subjekata koji koriste određene tehnologije.</w:t>
            </w:r>
          </w:p>
        </w:tc>
      </w:tr>
      <w:tr w:rsidR="00702E3C">
        <w:tc>
          <w:tcPr>
            <w:tcW w:w="460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3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3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46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6,6 %</w:t>
            </w:r>
          </w:p>
        </w:tc>
        <w:tc>
          <w:tcPr>
            <w:tcW w:w="942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830"/>
        <w:gridCol w:w="3286"/>
        <w:gridCol w:w="3454"/>
        <w:gridCol w:w="2740"/>
        <w:gridCol w:w="2716"/>
      </w:tblGrid>
      <w:tr w:rsidR="00702E3C">
        <w:tc>
          <w:tcPr>
            <w:tcW w:w="1792"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234"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Udio otpadnih voda od noćenja turista u smještajnoj djelatnosti (SGOV-2)</w:t>
            </w:r>
          </w:p>
        </w:tc>
      </w:tr>
      <w:tr w:rsidR="00702E3C">
        <w:tc>
          <w:tcPr>
            <w:tcW w:w="1792"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indikatora s međunarodnim sustavima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UN TOURISM-MST: Otpadne vode po noćenju turista u djelatnosti smještaja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Gospodarenje otpadnim vodama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6 Čista, pitka voda i higijenski uvjeti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Poseban cilj: 3. Smanjenje negativnog utjecaja turizma na sastavnice okoliša, prirodu i prostor; 4. Smanjenje negativnog međuodnosa turizma i klime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prati ukupne količine otpadnih voda po noćenju posjetitelja u smještajnoj djelatnosti (komercijalni i nekomercijalni smještaj).</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 i svrha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daje informaciju o opterećenju sustava obrade otpadnih voda destinacije svih razina pročišćavanja otpadnih voda kao posljedica noćenja turista u smještajnim objektima destinacije te o potencijalu rizika od onečišćenja voda i mora. To je osobito važno za destinacije kojima su vodni i morski resursi ključne. Otpadne vode jesu sve potencijalno onečišćene industrijske, sanitarne, oborinske i druge vode.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Otpadne vode po noćenju turista u komercijalnoj smještajnoj djelatnosti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Otpadne vode po noćenju turista u nekomercijalnoj smještajnoj djelatnosti</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Broj noćenja turista u smještajnim objektima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Broj stanovnika u destinaciji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Ukupne količine otpadnih voda (m</w:t>
            </w:r>
            <w:r>
              <w:rPr>
                <w:rFonts w:ascii="Times New Roman" w:eastAsia="Times New Roman" w:hAnsi="Times New Roman" w:cs="Times New Roman"/>
                <w:kern w:val="0"/>
                <w:sz w:val="14"/>
                <w:szCs w:val="14"/>
                <w:vertAlign w:val="superscript"/>
                <w:lang w:eastAsia="hr-HR"/>
                <w14:ligatures w14:val="none"/>
              </w:rPr>
              <w:t>3</w:t>
            </w:r>
            <w:r>
              <w:rPr>
                <w:rFonts w:ascii="Times New Roman" w:eastAsia="Times New Roman" w:hAnsi="Times New Roman" w:cs="Times New Roman"/>
                <w:kern w:val="0"/>
                <w:sz w:val="18"/>
                <w:szCs w:val="18"/>
                <w:lang w:eastAsia="hr-HR"/>
                <w14:ligatures w14:val="none"/>
              </w:rPr>
              <w:t>)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eVisitor</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DZS, godišnje izvješće (procjena)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Javni isporučitelj vodnih usluga koji upravlja uređajem za pročišćavanje komunalnih otpadnih voda – Komunalno poduzeće u destinaciji zaduženo za odvodnju (sustav kanalizacije, obrade, ispust u more) /</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Podatak je dostupan</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Podatak je dostupan uz zahtjev</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30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Svake dvije godine</w:t>
            </w:r>
          </w:p>
        </w:tc>
      </w:tr>
      <w:tr w:rsidR="00702E3C">
        <w:tc>
          <w:tcPr>
            <w:tcW w:w="5095"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T – </w:t>
            </w:r>
            <w:r>
              <w:rPr>
                <w:rFonts w:ascii="Times New Roman" w:eastAsia="Times New Roman" w:hAnsi="Times New Roman" w:cs="Times New Roman"/>
                <w:kern w:val="0"/>
                <w:sz w:val="18"/>
                <w:szCs w:val="18"/>
                <w:lang w:eastAsia="hr-HR"/>
                <w14:ligatures w14:val="none"/>
              </w:rPr>
              <w:t>broj noćenja turista u smještajnim objektima destinacije u referentnoj godini</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BS – </w:t>
            </w:r>
            <w:r>
              <w:rPr>
                <w:rFonts w:ascii="Times New Roman" w:eastAsia="Times New Roman" w:hAnsi="Times New Roman" w:cs="Times New Roman"/>
                <w:kern w:val="0"/>
                <w:sz w:val="18"/>
                <w:szCs w:val="18"/>
                <w:lang w:eastAsia="hr-HR"/>
                <w14:ligatures w14:val="none"/>
              </w:rPr>
              <w:t>broj stanovnika destinacije</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OV – </w:t>
            </w:r>
            <w:r>
              <w:rPr>
                <w:rFonts w:ascii="Times New Roman" w:eastAsia="Times New Roman" w:hAnsi="Times New Roman" w:cs="Times New Roman"/>
                <w:kern w:val="0"/>
                <w:sz w:val="18"/>
                <w:szCs w:val="18"/>
                <w:lang w:eastAsia="hr-HR"/>
                <w14:ligatures w14:val="none"/>
              </w:rPr>
              <w:t>Ukupne količine otpadnih voda u destinacije</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m:oMathPara>
              <m:oMath>
                <m:r>
                  <w:rPr>
                    <w:rFonts w:ascii="Cambria Math" w:eastAsia="Times New Roman" w:hAnsi="Cambria Math" w:cs="Times New Roman"/>
                    <w:kern w:val="0"/>
                    <w:sz w:val="18"/>
                    <w:szCs w:val="18"/>
                    <w:lang w:eastAsia="hr-HR"/>
                    <w14:ligatures w14:val="none"/>
                  </w:rPr>
                  <m:t xml:space="preserve">Udio otpadnih voda od noćenja turista u smještajnim objektima u destinaciji = </m:t>
                </m:r>
                <m:f>
                  <m:fPr>
                    <m:ctrlPr>
                      <w:rPr>
                        <w:rFonts w:ascii="Cambria Math" w:eastAsia="Times New Roman" w:hAnsi="Cambria Math" w:cs="Times New Roman"/>
                        <w:i/>
                        <w:kern w:val="0"/>
                        <w:sz w:val="18"/>
                        <w:szCs w:val="18"/>
                        <w:lang w:eastAsia="hr-HR"/>
                        <w14:ligatures w14:val="none"/>
                      </w:rPr>
                    </m:ctrlPr>
                  </m:fPr>
                  <m:num>
                    <m:r>
                      <w:rPr>
                        <w:rFonts w:ascii="Cambria Math" w:eastAsia="Times New Roman" w:hAnsi="Cambria Math" w:cs="Times New Roman"/>
                        <w:kern w:val="0"/>
                        <w:sz w:val="18"/>
                        <w:szCs w:val="18"/>
                        <w:lang w:eastAsia="hr-HR"/>
                        <w14:ligatures w14:val="none"/>
                      </w:rPr>
                      <m:t>T</m:t>
                    </m:r>
                  </m:num>
                  <m:den>
                    <m:r>
                      <w:rPr>
                        <w:rFonts w:ascii="Cambria Math" w:eastAsia="Times New Roman" w:hAnsi="Cambria Math" w:cs="Times New Roman"/>
                        <w:kern w:val="0"/>
                        <w:sz w:val="18"/>
                        <w:szCs w:val="18"/>
                        <w:lang w:eastAsia="hr-HR"/>
                        <w14:ligatures w14:val="none"/>
                      </w:rPr>
                      <m:t xml:space="preserve">T + BS ×365 </m:t>
                    </m:r>
                  </m:den>
                </m:f>
                <m:r>
                  <w:rPr>
                    <w:rFonts w:ascii="Cambria Math" w:eastAsia="Times New Roman" w:hAnsi="Cambria Math" w:cs="Times New Roman"/>
                    <w:kern w:val="0"/>
                    <w:sz w:val="18"/>
                    <w:szCs w:val="18"/>
                    <w:lang w:eastAsia="hr-HR"/>
                    <w14:ligatures w14:val="none"/>
                  </w:rPr>
                  <m:t xml:space="preserve"> ×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5095"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dvije godine</w:t>
            </w:r>
          </w:p>
        </w:tc>
      </w:tr>
      <w:tr w:rsidR="00702E3C">
        <w:tc>
          <w:tcPr>
            <w:tcW w:w="509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 destinaciji s dobrom statistikom nekomercijalnog smještaja koristiti i podatke za izračun nekomercijalnog udjela.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je izračunat uz pretpostavku da je potrošnja vode i produkcija otpadnih voda turista i lokalnog stanovništva po noćenju jednaka.</w:t>
            </w:r>
          </w:p>
        </w:tc>
      </w:tr>
      <w:tr w:rsidR="00702E3C">
        <w:tc>
          <w:tcPr>
            <w:tcW w:w="509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34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274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272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2031</w:t>
            </w:r>
          </w:p>
        </w:tc>
      </w:tr>
      <w:tr w:rsidR="00702E3C">
        <w:tc>
          <w:tcPr>
            <w:tcW w:w="509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893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6"/>
        <w:gridCol w:w="4133"/>
        <w:gridCol w:w="2005"/>
        <w:gridCol w:w="2004"/>
        <w:gridCol w:w="2004"/>
        <w:gridCol w:w="2005"/>
      </w:tblGrid>
      <w:tr w:rsidR="00702E3C">
        <w:tc>
          <w:tcPr>
            <w:tcW w:w="2012"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55"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Propisi za postavljanje, održavanje i ispitivanje ispusta iz septičkih jama i sustava za pročišćavanje otpadnih voda i dokazi o njihovoj provedbi (SGOV-3)</w:t>
            </w:r>
          </w:p>
        </w:tc>
      </w:tr>
      <w:tr w:rsidR="00702E3C">
        <w:tc>
          <w:tcPr>
            <w:tcW w:w="2012"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indikatora s međunarodnim sustavima</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Propisi za postavljanje, održavanje i ispitivanje ispusta iz septičkih jama i sustava za pročišćavanje otpadnih voda i dokazi o njihovoj provedbi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gospodarenje otpadnim vodama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6 Čista, pitka voda i higijenski uvjeti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Strategijom i Nacionalnim planom</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4. Smanjenje negativnog međuodnosa turizma i klime;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informaciju o uspostavi zakonskog i podzakonskog (provedbenog) okvira za postavljanje, održavanje i ispitivanje ispusta iz septičkih jama i sustava za pročišćavanje otpadnih voda i dokazi o njihovoj provedbi.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Sukladno zakonskim propisima uspostavljena je osnova za postavljanje, održavanje i ispitivanje ispusta iz septičkih jama i sustava za pročišćavanje otpadnih voda i dokazi o njihovoj provedbi.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Dokaz o provedbi je odluka o odvodnji otpadnih voda aglomeracije kojim se uređuju pitanja: načina odvodnje, unutarnje kanalizacije, uvjeti ispuštanja otpadnih voda, pitanja vezana uz septičke i sabirne jame, postupanja kod onečišćenja, pitanja vezana uz odlaganje i uklanjanje opasnih i drugih tvari, nadzor i kaznene odredbe, temeljem Zakona o vodama i podzakonskih propisa koji su na teritoriju RH uspostavljeni na osnovi EU pravnog okvira u ovom području. Odluku su dužne donijeti JLS u destinaciji, a dokument je javan.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Informacija o uspostavi zakonodavnog okvira propisima koji su na snazi za postavljanje, održavanje i ispitivanje ispusta iz septičkih jama i sustava za pročišćavanje otpadnih voda i dokazi o njihovoj provedbi (Odluka o odvodnji otpadnih voda aglomeracije)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Upravni odjeli JLS /Javni isporučitelji vodnih usluga javne vodoopskrbe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Jednom godišnje</w:t>
            </w:r>
          </w:p>
        </w:tc>
      </w:tr>
      <w:tr w:rsidR="00702E3C">
        <w:tc>
          <w:tcPr>
            <w:tcW w:w="6130"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se direktno preuzima</w:t>
            </w:r>
          </w:p>
        </w:tc>
      </w:tr>
      <w:tr w:rsidR="00702E3C">
        <w:tc>
          <w:tcPr>
            <w:tcW w:w="6130"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30"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3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Odluka o odvodnji otpadnih voda aglomeracije donosi se na razini aglomeracije, što se često ne preklapa sa razinom destinacije, te je potrebna dodatna obrada podataka.</w:t>
            </w:r>
          </w:p>
        </w:tc>
      </w:tr>
      <w:tr w:rsidR="00702E3C">
        <w:tc>
          <w:tcPr>
            <w:tcW w:w="613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Početna vrijednost 2025.</w:t>
            </w:r>
          </w:p>
        </w:tc>
        <w:tc>
          <w:tcPr>
            <w:tcW w:w="20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3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20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1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08"/>
        <w:gridCol w:w="1403"/>
        <w:gridCol w:w="5675"/>
        <w:gridCol w:w="5081"/>
      </w:tblGrid>
      <w:tr w:rsidR="00702E3C">
        <w:tc>
          <w:tcPr>
            <w:tcW w:w="2019"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48" w:type="dxa"/>
            <w:gridSpan w:val="3"/>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otpadnih voda destinacije tretiranih do najmanje sekundarne razine prije ispuštanja (SGOV-1)</w:t>
            </w:r>
          </w:p>
        </w:tc>
      </w:tr>
      <w:tr w:rsidR="00702E3C">
        <w:tc>
          <w:tcPr>
            <w:tcW w:w="2019"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Postotak otpadnih voda destinacije tretiranih do najmanje sekundarne razine prije ispuštanja (D.4.1.)</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gospodarenje otpadnim vodama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6 Čista, pitka voda i higijenski uvjeti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udio otpadnih voda koje su u destinaciji tretirane minimalno sekundarnom razinom pročišćavanja prije ispuštanja.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Javna odvodnja je djelatnost skupljanja komunalnih otpadnih voda, njihova pročišćavanja i ispuštanja u sustav kanalizacije te obrade i ispuštanje u prirodni prijamnik (vode/more). Vođenje evidencije o količini otpadnih voda i stupnjevima pročišćavanja otpadnih voda dužno je osigurati i provoditi tijelo državne uprave nadležno za javnu odvodnju, odnosno javni isporučitelji usluge – komunalno poduzeće u jedinicama lokalne i područne (regionalne) samouprave na temelju zakona kojim se uređuju vodne usluge, koje izvještava DZS.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Pokazatelj daje informaciju o opterećenju sustava obrade otpadnih voda destinacije te o potencijalu rizika od onečišćenja vodnih/morskih resursa. To je osobito važno za destinacije kojima su vodni i morski resursi ključne atrakcije.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N/P</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Ukupne količine pročišćenih otpadnih voda u destinaciji (m</w:t>
            </w:r>
            <w:r>
              <w:rPr>
                <w:rFonts w:ascii="Times New Roman" w:eastAsia="Times New Roman" w:hAnsi="Times New Roman" w:cs="Times New Roman"/>
                <w:kern w:val="0"/>
                <w:sz w:val="20"/>
                <w:szCs w:val="20"/>
                <w:vertAlign w:val="superscript"/>
                <w:lang w:eastAsia="hr-HR"/>
                <w14:ligatures w14:val="none"/>
              </w:rPr>
              <w:t>3</w:t>
            </w:r>
            <w:r>
              <w:rPr>
                <w:rFonts w:ascii="Times New Roman" w:eastAsia="Times New Roman" w:hAnsi="Times New Roman" w:cs="Times New Roman"/>
                <w:kern w:val="0"/>
                <w:sz w:val="20"/>
                <w:szCs w:val="20"/>
                <w:lang w:eastAsia="hr-HR"/>
                <w14:ligatures w14:val="none"/>
              </w:rPr>
              <w:t>) prema stupnju pročišćavanja (1., 2. i 3. stupanj)</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Količine pročišćenih voda do minimalno 2. stupnja pročišćavanja – 2. i 3. stupanj (m</w:t>
            </w:r>
            <w:r>
              <w:rPr>
                <w:rFonts w:ascii="Times New Roman" w:eastAsia="Times New Roman" w:hAnsi="Times New Roman" w:cs="Times New Roman"/>
                <w:kern w:val="0"/>
                <w:sz w:val="20"/>
                <w:szCs w:val="20"/>
                <w:vertAlign w:val="superscript"/>
                <w:lang w:eastAsia="hr-HR"/>
                <w14:ligatures w14:val="none"/>
              </w:rPr>
              <w:t>3</w:t>
            </w:r>
            <w:r>
              <w:rPr>
                <w:rFonts w:ascii="Times New Roman" w:eastAsia="Times New Roman" w:hAnsi="Times New Roman" w:cs="Times New Roman"/>
                <w:kern w:val="0"/>
                <w:sz w:val="20"/>
                <w:szCs w:val="20"/>
                <w:lang w:eastAsia="hr-HR"/>
                <w14:ligatures w14:val="none"/>
              </w:rPr>
              <w: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Broj gospodarskih subjekata i kućanstava/stanova priključenih na mrežu javne odvodnje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Javni isporučitelj vodnih usluga koji upravlja uređajem za pročišćavanje komunalnih otpadnih voda – Komunalno poduzeće u destinaciji zaduženo za odvodnju (sustav kanalizacije, obrade, ispust u more)/DZS, Priopćenje Javna odvodnja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Javni isporučitelj vodnih usluga koji upravlja uređajem za pročišćavanje komunalnih otpadnih voda – Komunalno poduzeće u destinaciji zaduženo za odvodnju (sustav kanalizacije, obrade, ispust u more)/DZS, Priopćenje Javna odvodnja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DZS, Statistički poslovni registar (Registar poslovnih subjekata) i priopćenje Javna odvodnja; Popis stanovništva, kućanstava i stanova, Stanovi prema zauzetosti, Stanovi za stalno i povremeno stanovanje prema vodovodnim i kanalizacijskim instalacijama i vrsti priključaka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3.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3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3. Svake četiri godine</w:t>
            </w:r>
          </w:p>
        </w:tc>
      </w:tr>
      <w:tr w:rsidR="00702E3C">
        <w:tc>
          <w:tcPr>
            <w:tcW w:w="3394"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izračunava kao udio otpadnih voda pročišćenih prije ispuštanja do minimalno 2. stupnja pročišćavanja u odnosu na ukupnu količinu otpadnih voda u destinaciji koje su ispustili gospodarski subjekti i kućanstva u destinaciji.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N – </w:t>
            </w:r>
            <w:r>
              <w:rPr>
                <w:rFonts w:ascii="Times New Roman" w:eastAsia="Times New Roman" w:hAnsi="Times New Roman" w:cs="Times New Roman"/>
                <w:kern w:val="0"/>
                <w:sz w:val="20"/>
                <w:szCs w:val="20"/>
                <w:lang w:eastAsia="hr-HR"/>
                <w14:ligatures w14:val="none"/>
              </w:rPr>
              <w:t>ukupno ispuštanje nepročišćenih voda u destinaciji u m³ na razini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w:t>
            </w:r>
            <w:r>
              <w:rPr>
                <w:rFonts w:ascii="Times New Roman" w:eastAsia="Times New Roman" w:hAnsi="Times New Roman" w:cs="Times New Roman"/>
                <w:i/>
                <w:iCs/>
                <w:kern w:val="0"/>
                <w:sz w:val="20"/>
                <w:szCs w:val="20"/>
                <w:vertAlign w:val="subscript"/>
                <w:lang w:eastAsia="hr-HR"/>
                <w14:ligatures w14:val="none"/>
              </w:rPr>
              <w:t>1</w:t>
            </w:r>
            <w:r>
              <w:rPr>
                <w:rFonts w:ascii="Times New Roman" w:eastAsia="Times New Roman" w:hAnsi="Times New Roman" w:cs="Times New Roman"/>
                <w:i/>
                <w:iCs/>
                <w:kern w:val="0"/>
                <w:sz w:val="20"/>
                <w:szCs w:val="20"/>
                <w:lang w:eastAsia="hr-HR"/>
                <w14:ligatures w14:val="none"/>
              </w:rPr>
              <w:t>, P</w:t>
            </w:r>
            <w:r>
              <w:rPr>
                <w:rFonts w:ascii="Times New Roman" w:eastAsia="Times New Roman" w:hAnsi="Times New Roman" w:cs="Times New Roman"/>
                <w:i/>
                <w:iCs/>
                <w:kern w:val="0"/>
                <w:sz w:val="20"/>
                <w:szCs w:val="20"/>
                <w:vertAlign w:val="subscript"/>
                <w:lang w:eastAsia="hr-HR"/>
                <w14:ligatures w14:val="none"/>
              </w:rPr>
              <w:t>2</w:t>
            </w:r>
            <w:r>
              <w:rPr>
                <w:rFonts w:ascii="Times New Roman" w:eastAsia="Times New Roman" w:hAnsi="Times New Roman" w:cs="Times New Roman"/>
                <w:i/>
                <w:iCs/>
                <w:kern w:val="0"/>
                <w:sz w:val="20"/>
                <w:szCs w:val="20"/>
                <w:lang w:eastAsia="hr-HR"/>
                <w14:ligatures w14:val="none"/>
              </w:rPr>
              <w:t>, P</w:t>
            </w:r>
            <w:r>
              <w:rPr>
                <w:rFonts w:ascii="Times New Roman" w:eastAsia="Times New Roman" w:hAnsi="Times New Roman" w:cs="Times New Roman"/>
                <w:i/>
                <w:iCs/>
                <w:kern w:val="0"/>
                <w:sz w:val="20"/>
                <w:szCs w:val="20"/>
                <w:vertAlign w:val="subscript"/>
                <w:lang w:eastAsia="hr-HR"/>
                <w14:ligatures w14:val="none"/>
              </w:rPr>
              <w:t>3</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ukupno ispuštanje pročišćene vode u destinaciji u m³ na razini godine za stupanj pročišćavanja 1, 2 i 3.</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 – </w:t>
            </w:r>
            <w:r>
              <w:rPr>
                <w:rFonts w:ascii="Times New Roman" w:eastAsia="Times New Roman" w:hAnsi="Times New Roman" w:cs="Times New Roman"/>
                <w:kern w:val="0"/>
                <w:sz w:val="20"/>
                <w:szCs w:val="20"/>
                <w:lang w:eastAsia="hr-HR"/>
                <w14:ligatures w14:val="none"/>
              </w:rPr>
              <w:t>ukupno ispuštanje pročišćene vode u destinaciji u m³ na razini godine,</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32"/>
                <w:szCs w:val="32"/>
                <w:lang w:eastAsia="hr-HR"/>
                <w14:ligatures w14:val="none"/>
              </w:rPr>
            </w:pPr>
            <m:oMathPara>
              <m:oMath>
                <m:r>
                  <w:rPr>
                    <w:rFonts w:ascii="Cambria Math" w:eastAsia="Times New Roman" w:hAnsi="Cambria Math" w:cs="Times New Roman"/>
                    <w:kern w:val="0"/>
                    <w:sz w:val="32"/>
                    <w:szCs w:val="32"/>
                    <w:lang w:eastAsia="hr-HR"/>
                    <w14:ligatures w14:val="none"/>
                  </w:rPr>
                  <m:t xml:space="preserve">P = </m:t>
                </m:r>
                <m:sSub>
                  <m:sSubPr>
                    <m:ctrlPr>
                      <w:rPr>
                        <w:rFonts w:ascii="Cambria Math" w:eastAsia="Times New Roman" w:hAnsi="Cambria Math" w:cs="Times New Roman"/>
                        <w:i/>
                        <w:kern w:val="0"/>
                        <w:sz w:val="32"/>
                        <w:szCs w:val="32"/>
                        <w:lang w:eastAsia="hr-HR"/>
                        <w14:ligatures w14:val="none"/>
                      </w:rPr>
                    </m:ctrlPr>
                  </m:sSubPr>
                  <m:e>
                    <m:r>
                      <w:rPr>
                        <w:rFonts w:ascii="Cambria Math" w:eastAsia="Times New Roman" w:hAnsi="Cambria Math" w:cs="Times New Roman"/>
                        <w:kern w:val="0"/>
                        <w:sz w:val="32"/>
                        <w:szCs w:val="32"/>
                        <w:lang w:eastAsia="hr-HR"/>
                        <w14:ligatures w14:val="none"/>
                      </w:rPr>
                      <m:t>P</m:t>
                    </m:r>
                  </m:e>
                  <m:sub>
                    <m:r>
                      <w:rPr>
                        <w:rFonts w:ascii="Cambria Math" w:eastAsia="Times New Roman" w:hAnsi="Cambria Math" w:cs="Times New Roman"/>
                        <w:kern w:val="0"/>
                        <w:sz w:val="32"/>
                        <w:szCs w:val="32"/>
                        <w:lang w:eastAsia="hr-HR"/>
                        <w14:ligatures w14:val="none"/>
                      </w:rPr>
                      <m:t>1</m:t>
                    </m:r>
                  </m:sub>
                </m:sSub>
                <m:r>
                  <w:rPr>
                    <w:rFonts w:ascii="Cambria Math" w:eastAsia="Times New Roman" w:hAnsi="Cambria Math" w:cs="Times New Roman"/>
                    <w:kern w:val="0"/>
                    <w:sz w:val="32"/>
                    <w:szCs w:val="32"/>
                    <w:lang w:eastAsia="hr-HR"/>
                    <w14:ligatures w14:val="none"/>
                  </w:rPr>
                  <m:t xml:space="preserve">+ </m:t>
                </m:r>
                <m:sSub>
                  <m:sSubPr>
                    <m:ctrlPr>
                      <w:rPr>
                        <w:rFonts w:ascii="Cambria Math" w:eastAsia="Times New Roman" w:hAnsi="Cambria Math" w:cs="Times New Roman"/>
                        <w:i/>
                        <w:kern w:val="0"/>
                        <w:sz w:val="32"/>
                        <w:szCs w:val="32"/>
                        <w:lang w:eastAsia="hr-HR"/>
                        <w14:ligatures w14:val="none"/>
                      </w:rPr>
                    </m:ctrlPr>
                  </m:sSubPr>
                  <m:e>
                    <m:r>
                      <w:rPr>
                        <w:rFonts w:ascii="Cambria Math" w:eastAsia="Times New Roman" w:hAnsi="Cambria Math" w:cs="Times New Roman"/>
                        <w:kern w:val="0"/>
                        <w:sz w:val="32"/>
                        <w:szCs w:val="32"/>
                        <w:lang w:eastAsia="hr-HR"/>
                        <w14:ligatures w14:val="none"/>
                      </w:rPr>
                      <m:t>P</m:t>
                    </m:r>
                  </m:e>
                  <m:sub>
                    <m:r>
                      <w:rPr>
                        <w:rFonts w:ascii="Cambria Math" w:eastAsia="Times New Roman" w:hAnsi="Cambria Math" w:cs="Times New Roman"/>
                        <w:kern w:val="0"/>
                        <w:sz w:val="32"/>
                        <w:szCs w:val="32"/>
                        <w:lang w:eastAsia="hr-HR"/>
                        <w14:ligatures w14:val="none"/>
                      </w:rPr>
                      <m:t xml:space="preserve">2 </m:t>
                    </m:r>
                  </m:sub>
                </m:sSub>
                <m:r>
                  <w:rPr>
                    <w:rFonts w:ascii="Cambria Math" w:eastAsia="Times New Roman" w:hAnsi="Cambria Math" w:cs="Times New Roman"/>
                    <w:kern w:val="0"/>
                    <w:sz w:val="32"/>
                    <w:szCs w:val="32"/>
                    <w:lang w:eastAsia="hr-HR"/>
                    <w14:ligatures w14:val="none"/>
                  </w:rPr>
                  <m:t xml:space="preserve">+ </m:t>
                </m:r>
                <m:sSub>
                  <m:sSubPr>
                    <m:ctrlPr>
                      <w:rPr>
                        <w:rFonts w:ascii="Cambria Math" w:eastAsia="Times New Roman" w:hAnsi="Cambria Math" w:cs="Times New Roman"/>
                        <w:i/>
                        <w:kern w:val="0"/>
                        <w:sz w:val="32"/>
                        <w:szCs w:val="32"/>
                        <w:lang w:eastAsia="hr-HR"/>
                        <w14:ligatures w14:val="none"/>
                      </w:rPr>
                    </m:ctrlPr>
                  </m:sSubPr>
                  <m:e>
                    <m:r>
                      <w:rPr>
                        <w:rFonts w:ascii="Cambria Math" w:eastAsia="Times New Roman" w:hAnsi="Cambria Math" w:cs="Times New Roman"/>
                        <w:kern w:val="0"/>
                        <w:sz w:val="32"/>
                        <w:szCs w:val="32"/>
                        <w:lang w:eastAsia="hr-HR"/>
                        <w14:ligatures w14:val="none"/>
                      </w:rPr>
                      <m:t>P</m:t>
                    </m:r>
                  </m:e>
                  <m:sub>
                    <m:r>
                      <w:rPr>
                        <w:rFonts w:ascii="Cambria Math" w:eastAsia="Times New Roman" w:hAnsi="Cambria Math" w:cs="Times New Roman"/>
                        <w:kern w:val="0"/>
                        <w:sz w:val="32"/>
                        <w:szCs w:val="32"/>
                        <w:lang w:eastAsia="hr-HR"/>
                        <w14:ligatures w14:val="none"/>
                      </w:rPr>
                      <m:t>3</m:t>
                    </m:r>
                  </m:sub>
                </m:sSub>
              </m:oMath>
            </m:oMathPara>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m:oMathPara>
              <m:oMathParaPr>
                <m:jc m:val="center"/>
              </m:oMathParaPr>
              <m:oMath>
                <m:r>
                  <w:rPr>
                    <w:rFonts w:ascii="Cambria Math" w:eastAsia="Times New Roman" w:hAnsi="Cambria Math" w:cs="Times New Roman"/>
                    <w:kern w:val="0"/>
                    <w:sz w:val="24"/>
                    <w:szCs w:val="24"/>
                    <w:lang w:eastAsia="hr-HR"/>
                    <w14:ligatures w14:val="none"/>
                  </w:rPr>
                  <w:lastRenderedPageBreak/>
                  <m:t xml:space="preserve">udio otpadnih voda pročišćenih prije ispuštanja do minimalno 2.stupnja pročišćavanja = </m:t>
                </m:r>
                <m:f>
                  <m:fPr>
                    <m:ctrlPr>
                      <w:rPr>
                        <w:rFonts w:ascii="Cambria Math" w:eastAsia="Times New Roman" w:hAnsi="Cambria Math" w:cs="Times New Roman"/>
                        <w:i/>
                        <w:kern w:val="0"/>
                        <w:sz w:val="24"/>
                        <w:szCs w:val="24"/>
                        <w:lang w:eastAsia="hr-HR"/>
                        <w14:ligatures w14:val="none"/>
                      </w:rPr>
                    </m:ctrlPr>
                  </m:fPr>
                  <m:num>
                    <m:sSub>
                      <m:sSubPr>
                        <m:ctrlPr>
                          <w:rPr>
                            <w:rFonts w:ascii="Cambria Math" w:eastAsia="Times New Roman" w:hAnsi="Cambria Math" w:cs="Times New Roman"/>
                            <w:i/>
                            <w:kern w:val="0"/>
                            <w:sz w:val="24"/>
                            <w:szCs w:val="24"/>
                            <w:lang w:eastAsia="hr-HR"/>
                            <w14:ligatures w14:val="none"/>
                          </w:rPr>
                        </m:ctrlPr>
                      </m:sSubPr>
                      <m:e>
                        <m:r>
                          <w:rPr>
                            <w:rFonts w:ascii="Cambria Math" w:eastAsia="Times New Roman" w:hAnsi="Cambria Math" w:cs="Times New Roman"/>
                            <w:kern w:val="0"/>
                            <w:sz w:val="24"/>
                            <w:szCs w:val="24"/>
                            <w:lang w:eastAsia="hr-HR"/>
                            <w14:ligatures w14:val="none"/>
                          </w:rPr>
                          <m:t>P</m:t>
                        </m:r>
                      </m:e>
                      <m:sub>
                        <m:r>
                          <w:rPr>
                            <w:rFonts w:ascii="Cambria Math" w:eastAsia="Times New Roman" w:hAnsi="Cambria Math" w:cs="Times New Roman"/>
                            <w:kern w:val="0"/>
                            <w:sz w:val="24"/>
                            <w:szCs w:val="24"/>
                            <w:lang w:eastAsia="hr-HR"/>
                            <w14:ligatures w14:val="none"/>
                          </w:rPr>
                          <m:t xml:space="preserve">2 </m:t>
                        </m:r>
                      </m:sub>
                    </m:sSub>
                    <m:r>
                      <w:rPr>
                        <w:rFonts w:ascii="Cambria Math" w:eastAsia="Times New Roman" w:hAnsi="Cambria Math" w:cs="Times New Roman"/>
                        <w:kern w:val="0"/>
                        <w:sz w:val="24"/>
                        <w:szCs w:val="24"/>
                        <w:lang w:eastAsia="hr-HR"/>
                        <w14:ligatures w14:val="none"/>
                      </w:rPr>
                      <m:t xml:space="preserve">+ </m:t>
                    </m:r>
                    <m:sSub>
                      <m:sSubPr>
                        <m:ctrlPr>
                          <w:rPr>
                            <w:rFonts w:ascii="Cambria Math" w:eastAsia="Times New Roman" w:hAnsi="Cambria Math" w:cs="Times New Roman"/>
                            <w:i/>
                            <w:kern w:val="0"/>
                            <w:sz w:val="24"/>
                            <w:szCs w:val="24"/>
                            <w:lang w:eastAsia="hr-HR"/>
                            <w14:ligatures w14:val="none"/>
                          </w:rPr>
                        </m:ctrlPr>
                      </m:sSubPr>
                      <m:e>
                        <m:r>
                          <w:rPr>
                            <w:rFonts w:ascii="Cambria Math" w:eastAsia="Times New Roman" w:hAnsi="Cambria Math" w:cs="Times New Roman"/>
                            <w:kern w:val="0"/>
                            <w:sz w:val="24"/>
                            <w:szCs w:val="24"/>
                            <w:lang w:eastAsia="hr-HR"/>
                            <w14:ligatures w14:val="none"/>
                          </w:rPr>
                          <m:t>P</m:t>
                        </m:r>
                      </m:e>
                      <m:sub>
                        <m:r>
                          <w:rPr>
                            <w:rFonts w:ascii="Cambria Math" w:eastAsia="Times New Roman" w:hAnsi="Cambria Math" w:cs="Times New Roman"/>
                            <w:kern w:val="0"/>
                            <w:sz w:val="24"/>
                            <w:szCs w:val="24"/>
                            <w:lang w:eastAsia="hr-HR"/>
                            <w14:ligatures w14:val="none"/>
                          </w:rPr>
                          <m:t>3</m:t>
                        </m:r>
                      </m:sub>
                    </m:sSub>
                  </m:num>
                  <m:den>
                    <m:r>
                      <w:rPr>
                        <w:rFonts w:ascii="Cambria Math" w:eastAsia="Times New Roman" w:hAnsi="Cambria Math" w:cs="Times New Roman"/>
                        <w:kern w:val="0"/>
                        <w:sz w:val="24"/>
                        <w:szCs w:val="24"/>
                        <w:lang w:eastAsia="hr-HR"/>
                        <w14:ligatures w14:val="none"/>
                      </w:rPr>
                      <m:t>N + P</m:t>
                    </m:r>
                  </m:den>
                </m:f>
                <m:r>
                  <w:rPr>
                    <w:rFonts w:ascii="Cambria Math" w:eastAsia="Times New Roman" w:hAnsi="Cambria Math" w:cs="Times New Roman"/>
                    <w:kern w:val="0"/>
                    <w:sz w:val="24"/>
                    <w:szCs w:val="24"/>
                    <w:lang w:eastAsia="hr-HR"/>
                    <w14:ligatures w14:val="none"/>
                  </w:rPr>
                  <m:t xml:space="preserve"> ×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3394"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Učestalost mjerenja</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četiri godine</w:t>
            </w:r>
          </w:p>
        </w:tc>
      </w:tr>
      <w:tr w:rsidR="00702E3C">
        <w:tc>
          <w:tcPr>
            <w:tcW w:w="339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Odluka o odvodnji otpadnih voda aglomeracije donosi se na razini aglomeracije, što se često ne preklapa sa razinom destinacije, te je potrebna dodatna obrada podataka.</w:t>
            </w:r>
          </w:p>
        </w:tc>
      </w:tr>
      <w:tr w:rsidR="00702E3C">
        <w:tc>
          <w:tcPr>
            <w:tcW w:w="3394"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56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509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2033</w:t>
            </w:r>
          </w:p>
        </w:tc>
      </w:tr>
      <w:tr w:rsidR="00702E3C">
        <w:tc>
          <w:tcPr>
            <w:tcW w:w="339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1077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4B1C83">
      <w:pPr>
        <w:pStyle w:val="Naslov2"/>
        <w:numPr>
          <w:ilvl w:val="1"/>
          <w:numId w:val="23"/>
        </w:numPr>
        <w:rPr>
          <w:rFonts w:ascii="Times New Roman" w:eastAsia="Times New Roman" w:hAnsi="Times New Roman" w:cs="Times New Roman"/>
          <w:lang w:eastAsia="hr-HR"/>
        </w:rPr>
      </w:pPr>
      <w:bookmarkStart w:id="103" w:name="_Toc217040731"/>
      <w:r>
        <w:rPr>
          <w:rFonts w:ascii="Times New Roman" w:eastAsia="Times New Roman" w:hAnsi="Times New Roman" w:cs="Times New Roman"/>
          <w:lang w:eastAsia="hr-HR"/>
        </w:rPr>
        <w:t>Gospodarenje otpadom</w:t>
      </w:r>
      <w:bookmarkEnd w:id="103"/>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600" w:type="dxa"/>
        <w:shd w:val="clear" w:color="auto" w:fill="FFFFFF"/>
        <w:tblCellMar>
          <w:left w:w="0" w:type="dxa"/>
          <w:right w:w="0" w:type="dxa"/>
        </w:tblCellMar>
        <w:tblLook w:val="04A0" w:firstRow="1" w:lastRow="0" w:firstColumn="1" w:lastColumn="0" w:noHBand="0" w:noVBand="1"/>
      </w:tblPr>
      <w:tblGrid>
        <w:gridCol w:w="1693"/>
        <w:gridCol w:w="2694"/>
        <w:gridCol w:w="4229"/>
        <w:gridCol w:w="2493"/>
        <w:gridCol w:w="2491"/>
      </w:tblGrid>
      <w:tr w:rsidR="00702E3C">
        <w:tc>
          <w:tcPr>
            <w:tcW w:w="169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907"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komunalnog otpada iz turističkih djelatnosti u odnosu na ukupni komunalni otpad destinacije (SGO-1)</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TOURISM-MST: Udio krutog otpada koji stvaraju turističke djelatnosti u odnosu na ukupni kruti otpad</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Gospodarenje otpadom</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Odgovorna potrošnja i proizvodnja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Posebni cilj: Smanjenje negativnog utjecaja turizma na sastavnice okoliša, prirodu i prostor</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Obilježja pokazatelja</w:t>
            </w: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omjer komunalnog otpada iz turističkih djelatnosti: hrana i piće, prijevoz, smještaj (komercijalni i nekomercijalni), putničke agencije i iznajmljivanje vozila u odnosu na ukupne količine komunalnog otpada nastalog u destinaciji.</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ostvarenje razdvajanja veze između proizvodnje otpada u turizmu i gospodarskog rasta te uspješnost sprečavanja nastanka otpada u destinaciji. Ukazuje na okolišni aspekti rizika u turističkim destinacijama gdje nedovoljno adekvatna infrastruktura gospodarenja otpadom u kombinaciji sa povećanom turističkom aktivnosti može ugroziti konkurentnost turističke destinacije. Pokazatelj je važan za atraktivnost destinacije i u slučaju neuređenog ili preopterećenog (prekapacitiranog) sustava gospodarenja otpadom što predstavlja ograničavajući čimbenik razvoja destinacije.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Komunalni otpad je miješani komunalni otpad i odvojeno sakupljeni otpad. Javna usluga sakupljanja komunalnog otpada podrazumijeva prikupljanje komunalnog otpada na području pružanja javne usluge putem spremnika od pojedinog korisnika i prijevoz i predaju tog otpada ovlaštenoj osobi za obradu takvoga otpada.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N/P</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Ukupne količine komunalnog otpada nastalog u destinaciji (tone)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Ukupne količine komunalnog otpada iz turističkih djelatnosti u destinaciji (tone)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Tone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Izvor/potencijalni izvor</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pružatelj javne usluge koje je a) trgovačko društvo koje osnova jedna ili više jedinica lokalne samouprave (JLS), temeljem odluke predstavničkog tijela JLS ili pravna ili b) fizička osoba – obrtnik temeljem koncesije dodijeljene odlukom predstavničkog tijela JLS / upravni odjeli jedinica lokalne/područje samouprave /nadležno ministarstvo</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Anketa pravnih i fizičkih osoba koji provode turističke djelatnosti u destinaciji</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 (potencijalno djelomična dostupnost kvalitetnih/verificiranih) podataka na razini pojedinih gradova/općina.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nije dostupan, nužno je prikupljanje podataka primarnim istraživanjem od strane TZ-ova (prijedlog ankete dostupan na http://www.crosto.hr/hr/korisni-dokumenti/prirucnik/).</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Metodološke smjernice za prikupljanje podataka i provođenje primarnih istraživanja objavljuju se na mrežnim stranicama Ministarstva (komercijalni smještajni kapaciteti)</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Svake dvije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Svake dvije godine</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izračunava kao omjer količine otpada nastalog u turističkim djelatnostima: hrana i piće, prijevoz, smještaj (komercijalni i nekomercijalni), turističke agencije i iznajmljivanje vozila u odnosu na ukupne količine komunalnog otpada nastalog u destinaciji.</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produžuje proces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prikazuje proizvodnju otpada u dijelu tzv. stacionarnog turizma – smještajnim objektima u destinaciji, što znači da se količine otpada sa plovila (npr. nautički i kruzing turizam) ne obrađuju u ovom pokazatelju.</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 xml:space="preserve">Početna vrijednost 2025. </w:t>
            </w:r>
          </w:p>
        </w:tc>
        <w:tc>
          <w:tcPr>
            <w:tcW w:w="42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49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49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22</w:t>
            </w:r>
          </w:p>
        </w:tc>
        <w:tc>
          <w:tcPr>
            <w:tcW w:w="921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1693"/>
        <w:gridCol w:w="2410"/>
        <w:gridCol w:w="3260"/>
        <w:gridCol w:w="3260"/>
        <w:gridCol w:w="3261"/>
      </w:tblGrid>
      <w:tr w:rsidR="00702E3C">
        <w:tc>
          <w:tcPr>
            <w:tcW w:w="169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Pokazatelja (kod pokazatelja)</w:t>
            </w:r>
          </w:p>
        </w:tc>
        <w:tc>
          <w:tcPr>
            <w:tcW w:w="12191"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turističkih poslovnih subjekata koji razdvajaju različite vrste otpada (SGO-2)</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(D.3.2.) Postotak poslovnih subjekata u turizmu koji odvajaju različite vrste otpada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gospodarenje otpadom</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Odgovorna potrošnja i proizvodnja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Poseban cilj: 3. Smanjenje negativnog utjecaja turizma na sastavnice okoliša, prirodu i prostor; 4. Smanjenje negativnog međuodnosa turizma i klime</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Obilježja pokazatelja</w:t>
            </w: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informaciju o udjelu poslovnih subjekata u destinaciji koji u odnosu na ukupan broj poslovnih subjekata razdvajaju slijedeće vrste otpada, tj. posebne kategorije otpada: otpadni tekstil i obuća, otpadna ambalaža, otpadne gume, otpadna ulja, otpadne baterije i akumulatori, otpadna vozila, građevni otpad i otpad koji sadrži azbest, otpadna električna i elektronička oprema, plastika za jednokratnu uporabu</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Posebne kategorije otpada su tokovi otpada za koje se propisima o gospodarenju otpadom propisuju uvjeti gospodarenja otpadom uzimajući u obzir zemljopisne okolnosti ili potrebu za posebnim građevinama za posebne kategorije otpada, čime se smanjuje količina otpada koji se zbrinjava odlaganjem.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Napomena: naknada je uvedena za sljedeće posebne kategorije otpada – ambalaža i otpadna ambalaža, otpadne gume, otpadna vozila, električni i elektronički otpad (EE – otpad), otpadne baterije i akumulatori i otpadna ulja.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Ukupan broj turističkih poslovnih subjekata u destinaciji po djelatnostima: hrana i piće, prijevoz, smještaj (komercijalni), putničke agencije i iznajmljivanje vozila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poslovnih subjekata koji razdvajaju posebne kategorije otpada po djelatnostima: hrana i piće, prijevoz, smještaj (komercijalni), putničke agencije i iznajmljivanje vozila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Anketa gospodarskih subjekata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Anketa gospodarskih subjekata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nije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nije dostupan</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(poveznica na prijedlog)</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Anketa gospodarskih subjekata u turizmu u destinaciji – ukupan broj i broj gospodarskih subjekata koji razdvajaju posebne kategorije otpada po djelatnostima: hrana i piće, prijevoz, smještaj (komercijalni), putničke agencije i iznajmljivanje vozila – nužno je prikupljanje podataka primarnim istraživanjem</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4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Svake dvije godine</w:t>
            </w:r>
          </w:p>
        </w:tc>
      </w:tr>
      <w:tr w:rsidR="00702E3C">
        <w:tc>
          <w:tcPr>
            <w:tcW w:w="4103"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Metodologija izračuna pokazatelja</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se izračunava kao udio turističkih poslovnih subjekata po djelatnostima: hrana i piće, prijevoz, smještaj (komercijalni), putničke agencije i iznajmljivanje vozila u destinaciji koji razdvajaju različite vrste otpada u odnosu ukupni broj turističkih poslovnih subjekata u destinaciji.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BA – </w:t>
            </w:r>
            <w:r>
              <w:rPr>
                <w:rFonts w:ascii="Times New Roman" w:eastAsia="Times New Roman" w:hAnsi="Times New Roman" w:cs="Times New Roman"/>
                <w:kern w:val="0"/>
                <w:sz w:val="20"/>
                <w:szCs w:val="20"/>
                <w:lang w:eastAsia="hr-HR"/>
                <w14:ligatures w14:val="none"/>
              </w:rPr>
              <w:t>broj turističkih poslovnih subjekata u destinaciji u djelatnostima hrana i piće, prijevoz, smještaj (komercijalni), putničke agencije i iznajmljivanje vozila koja razdvajaju različite vrste otpada,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BT – </w:t>
            </w:r>
            <w:r>
              <w:rPr>
                <w:rFonts w:ascii="Times New Roman" w:eastAsia="Times New Roman" w:hAnsi="Times New Roman" w:cs="Times New Roman"/>
                <w:kern w:val="0"/>
                <w:sz w:val="20"/>
                <w:szCs w:val="20"/>
                <w:lang w:eastAsia="hr-HR"/>
                <w14:ligatures w14:val="none"/>
              </w:rPr>
              <w:t>ukupan broj turističkih poslovnih subjekata u destinaciji u djelatnostima hrana i piće, prijevoz, smještaj (komercijalni), putničke agencije i iznajmljivanje vozila</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turističkih poduzeća koja razdvajaju različite vrste otpada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BA</m:t>
                    </m:r>
                  </m:num>
                  <m:den>
                    <m:r>
                      <w:rPr>
                        <w:rFonts w:ascii="Cambria Math" w:eastAsia="Times New Roman" w:hAnsi="Cambria Math" w:cs="Times New Roman"/>
                        <w:kern w:val="0"/>
                        <w:sz w:val="20"/>
                        <w:szCs w:val="20"/>
                        <w:lang w:eastAsia="hr-HR"/>
                        <w14:ligatures w14:val="none"/>
                      </w:rPr>
                      <m:t>BT</m:t>
                    </m:r>
                  </m:den>
                </m:f>
                <m:r>
                  <w:rPr>
                    <w:rFonts w:ascii="Cambria Math" w:eastAsia="Times New Roman" w:hAnsi="Cambria Math" w:cs="Times New Roman"/>
                    <w:kern w:val="0"/>
                    <w:sz w:val="20"/>
                    <w:szCs w:val="20"/>
                    <w:lang w:eastAsia="hr-HR"/>
                    <w14:ligatures w14:val="none"/>
                  </w:rPr>
                  <m:t xml:space="preserve"> ×100%</m:t>
                </m:r>
              </m:oMath>
            </m:oMathPara>
          </w:p>
        </w:tc>
      </w:tr>
      <w:tr w:rsidR="00702E3C">
        <w:tc>
          <w:tcPr>
            <w:tcW w:w="4103"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4103"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produžuje proces. Moguće je razviti skup dodatnih podpokazatelja u kojima će se računati udio poslovnih subjekata koji razdvajaju određenu vrstu otpada.</w:t>
            </w:r>
          </w:p>
        </w:tc>
      </w:tr>
      <w:tr w:rsidR="00702E3C">
        <w:tc>
          <w:tcPr>
            <w:tcW w:w="4103"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326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326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410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30%</w:t>
            </w:r>
          </w:p>
        </w:tc>
        <w:tc>
          <w:tcPr>
            <w:tcW w:w="9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1801"/>
        <w:gridCol w:w="3994"/>
        <w:gridCol w:w="2109"/>
        <w:gridCol w:w="2092"/>
        <w:gridCol w:w="2087"/>
        <w:gridCol w:w="2084"/>
      </w:tblGrid>
      <w:tr w:rsidR="00702E3C">
        <w:tc>
          <w:tcPr>
            <w:tcW w:w="1752"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415"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Količina recikliranog otpada (postotak ili po stanovniku po godini) (SGO-3)</w:t>
            </w:r>
          </w:p>
        </w:tc>
      </w:tr>
      <w:tr w:rsidR="00702E3C">
        <w:tc>
          <w:tcPr>
            <w:tcW w:w="1752"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37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r>
            <w:r>
              <w:rPr>
                <w:rFonts w:ascii="Times New Roman" w:eastAsia="Times New Roman" w:hAnsi="Times New Roman" w:cs="Times New Roman"/>
                <w:kern w:val="0"/>
                <w:sz w:val="18"/>
                <w:szCs w:val="18"/>
                <w:lang w:eastAsia="hr-HR"/>
                <w14:ligatures w14:val="none"/>
              </w:rPr>
              <w:softHyphen/>
              <w:t>pokazatelja s međunarodnim sustavima</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ETIS: Postotak ukupnog otpada recikliranog po turistu u usporedbi s ukupnim otpadom recikliranim po stanovniku godišnje (D.3.3.)</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Povezanost sa Zakonom o turizmu</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 – Gospodarenje otpadom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Održivi gradovi i zajednice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12 Odgovorna potrošnja i proizvodnja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Poseban cilj: 3. Smanjenje negativnog utjecaja turizma na sastavnice okoliša, prirodu i prostor; 4. Smanjenje negativnog međuodnosa turizma i klime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daje informaciju o udjelu recikliranog otpada (u destinaciji, a može se izraziti u udjelu (%) i/ili po stanovniku u destinaciji, na godišnjoj razini.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Oporaba otpada je svaki postupak čiji je glavni rezultat uporaba otpada u korisne svrhe kada otpad zamjenjuje druge materijale koje bi inače trebalo uporabiti za tu svrhu ili otpad koji se priprema kako bi ispunio tu svrhu, u tvornici ili u širem gospodarskom smislu. U Dodatku II. Zakona o gospodarenju otpadom (NN 84/21, 142/23) sadržan je popis postupaka oporabe (postupak zbrinjavanja otpada R), a prema Katalogu otpada, dodatak X. Pravilnika o gospodarenju otpadom (NN 106/22) utvrđeni su postupci oporabe koji se smatraju recikliranjem.</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Ukupna masa otpada proizvedenog u kućanstvima i otpada iz drugih izvora čiji tokovi otpada su slični toku otpada iz kućanstva, uključujući barem papir, metal, plastiku i staklo, mora se oporabiti recikliranjem i pripremom za ponovnu uporabu Pokazateljem se prati napredak u recikliranju otpada (količina skupljenog otpada upućenog na recikliranje), koji se reciklira u reciklažnom centru, uključujući i mobilno reciklažno dvorište, što je nužno za prelazak na kružno gospodarstvo i osiguranje dugoročne konkurentnosti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 (opcionalno)</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Ukupna količina otpada u destinaciji</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Ukupna količina recikliranog otpada u destinaciji, minimalno papir, metal, plastiku i staklo</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 Broj stanovnika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ili kg/stanovnik</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i 2. pružatelj javne usluge koje je a) trgovačko društvo koje osnova jedna ili više jedinica lokalne samouprave (JLS), temeljem odluke predstavničkog tijela JLS ili pravna ili b) fizička osoba – obrtnik temeljem koncesije dodijeljene odlukom predstavničkog tijela JLS, obveznik vođenja e-ONTO / nadležno ministarstvo</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DZS, Popis stanovništva (godišnje procjene)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i podatkovni jaz</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3.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 3. Jednom godišnje</w:t>
            </w:r>
          </w:p>
        </w:tc>
      </w:tr>
      <w:tr w:rsidR="00702E3C">
        <w:tc>
          <w:tcPr>
            <w:tcW w:w="5545"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se izračunava kao godišnji udio količina otpada upućenog na recikliranje (barem papir, metal, plastiku i staklo) u odnosu na ukupne količine otpada u destinaciji ili u odnosu na broj stanovnika destinacije</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BS – </w:t>
            </w:r>
            <w:r>
              <w:rPr>
                <w:rFonts w:ascii="Times New Roman" w:eastAsia="Times New Roman" w:hAnsi="Times New Roman" w:cs="Times New Roman"/>
                <w:kern w:val="0"/>
                <w:sz w:val="18"/>
                <w:szCs w:val="18"/>
                <w:lang w:eastAsia="hr-HR"/>
                <w14:ligatures w14:val="none"/>
              </w:rPr>
              <w:t>broj stanovnika u destinaciji</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t>UO – </w:t>
            </w:r>
            <w:r>
              <w:rPr>
                <w:rFonts w:ascii="Times New Roman" w:eastAsia="Times New Roman" w:hAnsi="Times New Roman" w:cs="Times New Roman"/>
                <w:kern w:val="0"/>
                <w:sz w:val="18"/>
                <w:szCs w:val="18"/>
                <w:lang w:eastAsia="hr-HR"/>
                <w14:ligatures w14:val="none"/>
              </w:rPr>
              <w:t>ukupna količina otpada u destinaciji</w:t>
            </w: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i/>
                <w:iCs/>
                <w:kern w:val="0"/>
                <w:sz w:val="18"/>
                <w:szCs w:val="18"/>
                <w:lang w:eastAsia="hr-HR"/>
                <w14:ligatures w14:val="none"/>
              </w:rPr>
              <w:lastRenderedPageBreak/>
              <w:t>RO – </w:t>
            </w:r>
            <w:r>
              <w:rPr>
                <w:rFonts w:ascii="Times New Roman" w:eastAsia="Times New Roman" w:hAnsi="Times New Roman" w:cs="Times New Roman"/>
                <w:kern w:val="0"/>
                <w:sz w:val="18"/>
                <w:szCs w:val="18"/>
                <w:lang w:eastAsia="hr-HR"/>
                <w14:ligatures w14:val="none"/>
              </w:rPr>
              <w:t>količina otpada upućenog na recikliranje u destinaciji</w:t>
            </w:r>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m:oMathPara>
              <m:oMath>
                <m:r>
                  <w:rPr>
                    <w:rFonts w:ascii="Cambria Math" w:eastAsia="Times New Roman" w:hAnsi="Cambria Math" w:cs="Times New Roman"/>
                    <w:kern w:val="0"/>
                    <w:sz w:val="18"/>
                    <w:szCs w:val="18"/>
                    <w:lang w:eastAsia="hr-HR"/>
                    <w14:ligatures w14:val="none"/>
                  </w:rPr>
                  <m:t xml:space="preserve">Udio recikliranog otpada = </m:t>
                </m:r>
                <m:f>
                  <m:fPr>
                    <m:ctrlPr>
                      <w:rPr>
                        <w:rFonts w:ascii="Cambria Math" w:eastAsia="Times New Roman" w:hAnsi="Cambria Math" w:cs="Times New Roman"/>
                        <w:i/>
                        <w:kern w:val="0"/>
                        <w:sz w:val="18"/>
                        <w:szCs w:val="18"/>
                        <w:lang w:eastAsia="hr-HR"/>
                        <w14:ligatures w14:val="none"/>
                      </w:rPr>
                    </m:ctrlPr>
                  </m:fPr>
                  <m:num>
                    <m:r>
                      <w:rPr>
                        <w:rFonts w:ascii="Cambria Math" w:eastAsia="Times New Roman" w:hAnsi="Cambria Math" w:cs="Times New Roman"/>
                        <w:kern w:val="0"/>
                        <w:sz w:val="18"/>
                        <w:szCs w:val="18"/>
                        <w:lang w:eastAsia="hr-HR"/>
                        <w14:ligatures w14:val="none"/>
                      </w:rPr>
                      <m:t>RO</m:t>
                    </m:r>
                  </m:num>
                  <m:den>
                    <m:r>
                      <w:rPr>
                        <w:rFonts w:ascii="Cambria Math" w:eastAsia="Times New Roman" w:hAnsi="Cambria Math" w:cs="Times New Roman"/>
                        <w:kern w:val="0"/>
                        <w:sz w:val="18"/>
                        <w:szCs w:val="18"/>
                        <w:lang w:eastAsia="hr-HR"/>
                        <w14:ligatures w14:val="none"/>
                      </w:rPr>
                      <m:t>UO</m:t>
                    </m:r>
                  </m:den>
                </m:f>
                <m:r>
                  <w:rPr>
                    <w:rFonts w:ascii="Cambria Math" w:eastAsia="Times New Roman" w:hAnsi="Cambria Math" w:cs="Times New Roman"/>
                    <w:kern w:val="0"/>
                    <w:sz w:val="18"/>
                    <w:szCs w:val="18"/>
                    <w:lang w:eastAsia="hr-HR"/>
                    <w14:ligatures w14:val="none"/>
                  </w:rPr>
                  <m:t xml:space="preserve"> ×100%</m:t>
                </m:r>
              </m:oMath>
            </m:oMathPara>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18"/>
                <w:szCs w:val="18"/>
                <w:lang w:eastAsia="hr-HR"/>
                <w14:ligatures w14:val="none"/>
              </w:rPr>
            </w:pPr>
            <m:oMathPara>
              <m:oMath>
                <m:r>
                  <w:rPr>
                    <w:rFonts w:ascii="Cambria Math" w:eastAsia="Times New Roman" w:hAnsi="Cambria Math" w:cs="Times New Roman"/>
                    <w:kern w:val="0"/>
                    <w:sz w:val="18"/>
                    <w:szCs w:val="18"/>
                    <w:lang w:eastAsia="hr-HR"/>
                    <w14:ligatures w14:val="none"/>
                  </w:rPr>
                  <m:t xml:space="preserve">Količina recikliranog otpada po stanovniku = </m:t>
                </m:r>
                <m:f>
                  <m:fPr>
                    <m:ctrlPr>
                      <w:rPr>
                        <w:rFonts w:ascii="Cambria Math" w:eastAsia="Times New Roman" w:hAnsi="Cambria Math" w:cs="Times New Roman"/>
                        <w:i/>
                        <w:kern w:val="0"/>
                        <w:sz w:val="18"/>
                        <w:szCs w:val="18"/>
                        <w:lang w:eastAsia="hr-HR"/>
                        <w14:ligatures w14:val="none"/>
                      </w:rPr>
                    </m:ctrlPr>
                  </m:fPr>
                  <m:num>
                    <m:r>
                      <w:rPr>
                        <w:rFonts w:ascii="Cambria Math" w:eastAsia="Times New Roman" w:hAnsi="Cambria Math" w:cs="Times New Roman"/>
                        <w:kern w:val="0"/>
                        <w:sz w:val="18"/>
                        <w:szCs w:val="18"/>
                        <w:lang w:eastAsia="hr-HR"/>
                        <w14:ligatures w14:val="none"/>
                      </w:rPr>
                      <m:t>RO</m:t>
                    </m:r>
                  </m:num>
                  <m:den>
                    <m:r>
                      <w:rPr>
                        <w:rFonts w:ascii="Cambria Math" w:eastAsia="Times New Roman" w:hAnsi="Cambria Math" w:cs="Times New Roman"/>
                        <w:kern w:val="0"/>
                        <w:sz w:val="18"/>
                        <w:szCs w:val="18"/>
                        <w:lang w:eastAsia="hr-HR"/>
                        <w14:ligatures w14:val="none"/>
                      </w:rPr>
                      <m:t>BS</m:t>
                    </m:r>
                  </m:den>
                </m:f>
                <m:r>
                  <w:rPr>
                    <w:rFonts w:ascii="Cambria Math" w:eastAsia="Times New Roman" w:hAnsi="Cambria Math" w:cs="Times New Roman"/>
                    <w:kern w:val="0"/>
                    <w:sz w:val="18"/>
                    <w:szCs w:val="18"/>
                    <w:lang w:eastAsia="hr-HR"/>
                    <w14:ligatures w14:val="none"/>
                  </w:rPr>
                  <m:t xml:space="preserve"> ×100%</m:t>
                </m:r>
              </m:oMath>
            </m:oMathPara>
          </w:p>
          <w:p w:rsidR="00702E3C" w:rsidRDefault="00702E3C">
            <w:pPr>
              <w:spacing w:after="0" w:line="240" w:lineRule="auto"/>
              <w:textAlignment w:val="baseline"/>
              <w:rPr>
                <w:rFonts w:ascii="Times New Roman" w:eastAsia="Times New Roman" w:hAnsi="Times New Roman" w:cs="Times New Roman"/>
                <w:kern w:val="0"/>
                <w:sz w:val="18"/>
                <w:szCs w:val="18"/>
                <w:lang w:eastAsia="hr-HR"/>
                <w14:ligatures w14:val="none"/>
              </w:rPr>
            </w:pP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tc>
      </w:tr>
      <w:tr w:rsidR="00702E3C">
        <w:tc>
          <w:tcPr>
            <w:tcW w:w="5545"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lastRenderedPageBreak/>
              <w:t>Učestalost mjerenja</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Jednom godišnje</w:t>
            </w:r>
          </w:p>
        </w:tc>
      </w:tr>
      <w:tr w:rsidR="00702E3C">
        <w:tc>
          <w:tcPr>
            <w:tcW w:w="5545"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Ograničenja pokazatelja i perspektive</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Podaci prikupljeni iz navedenih izvora mogu biti nezadovoljavajuće i/ili dijelom nedostupni. U tom slučaju nužna je provedba primarnog istraživanja – produžuje proces.</w:t>
            </w:r>
          </w:p>
        </w:tc>
      </w:tr>
      <w:tr w:rsidR="00702E3C">
        <w:tc>
          <w:tcPr>
            <w:tcW w:w="5545"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Početna vrijednost 2025.</w:t>
            </w:r>
          </w:p>
        </w:tc>
        <w:tc>
          <w:tcPr>
            <w:tcW w:w="21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2026</w:t>
            </w:r>
          </w:p>
        </w:tc>
        <w:tc>
          <w:tcPr>
            <w:tcW w:w="21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215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2028</w:t>
            </w:r>
          </w:p>
        </w:tc>
        <w:tc>
          <w:tcPr>
            <w:tcW w:w="215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r>
      <w:tr w:rsidR="00702E3C">
        <w:tc>
          <w:tcPr>
            <w:tcW w:w="554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-81,62</w:t>
            </w:r>
          </w:p>
        </w:tc>
        <w:tc>
          <w:tcPr>
            <w:tcW w:w="862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2013"/>
        <w:gridCol w:w="4121"/>
        <w:gridCol w:w="1975"/>
        <w:gridCol w:w="1973"/>
        <w:gridCol w:w="1972"/>
        <w:gridCol w:w="1972"/>
      </w:tblGrid>
      <w:tr w:rsidR="00702E3C">
        <w:tc>
          <w:tcPr>
            <w:tcW w:w="2006"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20"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Plan gospodarenja otpadom s ciljevima za smanjenje i održivo odlaganje (SGO-4)</w:t>
            </w:r>
          </w:p>
        </w:tc>
      </w:tr>
      <w:tr w:rsidR="00702E3C">
        <w:tc>
          <w:tcPr>
            <w:tcW w:w="2006" w:type="dxa"/>
            <w:vMerge w:val="restart"/>
            <w:tcBorders>
              <w:top w:val="single" w:sz="6" w:space="0" w:color="auto"/>
              <w:left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Plan gospodarenja krutim otpadom koji se provodi i ima kvantitativne ciljeve za smanjivanje i osiguranje sigurnog održivog odlaganja otpada koji se ne koristi ponovno ili reciklira</w:t>
            </w:r>
          </w:p>
        </w:tc>
      </w:tr>
      <w:tr w:rsidR="00702E3C">
        <w:tc>
          <w:tcPr>
            <w:tcW w:w="0" w:type="auto"/>
            <w:vMerge/>
            <w:tcBorders>
              <w:left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gospodarenje otpadom</w:t>
            </w:r>
          </w:p>
        </w:tc>
      </w:tr>
      <w:tr w:rsidR="00702E3C">
        <w:tc>
          <w:tcPr>
            <w:tcW w:w="0" w:type="auto"/>
            <w:vMerge/>
            <w:tcBorders>
              <w:left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Odgovorna potrošnja i proizvodnja</w:t>
            </w:r>
          </w:p>
        </w:tc>
      </w:tr>
      <w:tr w:rsidR="00702E3C">
        <w:tc>
          <w:tcPr>
            <w:tcW w:w="0" w:type="auto"/>
            <w:vMerge/>
            <w:tcBorders>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4. Smanjenje negativnog međuodnosa turizma i klime,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informaciju o usvojenom Planu gospodarenja otpadom u destinaciji koji je donesen temeljem propisa o gospodarenju otpadom i nacionalnog plana, a kojim se na osnovi utvrđenih kvantitativnih ciljeva i hijerarhije otpada provode mjere za održivo gospodarenje otpadom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je li na razini destinacije donesen Plan gospodarenja otpadom kojim su definirani ciljevi, mjere, aktivnosti i rokova za provođenje istih, kao i planiranje potrebnih financijskih sredstava za provođenje mjera iz Plana.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 (opcionalno)</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Usvojen plan gospodarenja otpadom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pružatelj javne usluge koje je a) trgovačko društvo koje osnova jedna ili više jedinica lokalne samouprave (JLS), temeljem odluke predstavničkog tijela JLS ili pravna ili b) fizička osoba – obrtnik temeljem koncesije dodijeljene odlukom predstavničkog tijela JLS / Upravni odjeli jedinica / Nadležno Ministarstvo, baza dostupna na https://www.haop.hr/hr/informacijski-sustavi/informacijski-sustav-zastite-okolisa/gospodarenje-otpadom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Jednom godišnje</w:t>
            </w:r>
          </w:p>
        </w:tc>
      </w:tr>
      <w:tr w:rsidR="00702E3C">
        <w:tc>
          <w:tcPr>
            <w:tcW w:w="6098"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informacija o donesenom Planu gospodarenja otpadom u destinaciji.</w:t>
            </w:r>
          </w:p>
        </w:tc>
      </w:tr>
      <w:tr w:rsidR="00702E3C">
        <w:tc>
          <w:tcPr>
            <w:tcW w:w="6098"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098"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19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198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8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198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09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Da</w:t>
            </w:r>
          </w:p>
        </w:tc>
        <w:tc>
          <w:tcPr>
            <w:tcW w:w="7928"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lastRenderedPageBreak/>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906"/>
        <w:gridCol w:w="3738"/>
        <w:gridCol w:w="2855"/>
        <w:gridCol w:w="2794"/>
        <w:gridCol w:w="2733"/>
      </w:tblGrid>
      <w:tr w:rsidR="00702E3C">
        <w:tc>
          <w:tcPr>
            <w:tcW w:w="1866"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0"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Sprječavanje stvaranja otpada: plan smanjenja količine otpada od posluživanja hrane (SGO-5)</w:t>
            </w:r>
          </w:p>
        </w:tc>
      </w:tr>
      <w:tr w:rsidR="00702E3C">
        <w:tc>
          <w:tcPr>
            <w:tcW w:w="1866"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59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pokazatelja s međunarodnim sustavima</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EU ECOLABEL: Sprječavanje otpada: plan za smanjenje otpada iz usluživanja hrane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Gospodarenje otpadom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2 Svijet bez gladi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Odgovorna potrošnja i proizvodnja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Strategijom i Nacionalnim planom</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daje informaciju o sprječavanju i smanjenju nastajanja otpada od posluživanja hrane u turističkim poslovnim subjektima koji se bave djelatnošću pripreme i posluživanja hrane (NKD 56 Djelatnosti pripreme i usluživanja hrane i pića).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Otpad od hrane je globalni problem, budući da se prema procjenama u svijetu godišnje baci čak jedna trećina proizvedene hrane. Radi postizanja održivost proizvodnje i potrošnje hrane u ugostiteljstvu (NKD 56 Djelatnosti pripreme i usluživanja hrane i pića), poslovni subjekti i obrtnici u ugostiteljstvu trebaju izraditi vlastite smjernice i/ili plan sprječavanja i smanjenja nastajanja otpada od posluživanja hrane koje su temeljene ciljevima, mjerama i aktivnostima Plana sprječavanja i smanjenja nastajanja otpada od hrane Republike Hrvatske od 2023. – 2028.</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Gubici i otpad od hrane nastaju u svim fazama lanca proizvodnje i opskrbe hranom od primarne proizvodnje, proizvodnje i prerade, distribucije, skladištenja, trgovine, ugostiteljstva i institucionalnih kuhinja do kućanstava. Gubici hrane su nepoželjna pojava iz etičkih, gospodarskih i ekoloških razloga. Sprječavanje nastajanja i smanjivanje količina otpada od hrane izdvojeno je kao prioritetna </w:t>
            </w:r>
            <w:r>
              <w:rPr>
                <w:rFonts w:ascii="Times New Roman" w:eastAsia="Times New Roman" w:hAnsi="Times New Roman" w:cs="Times New Roman"/>
                <w:kern w:val="0"/>
                <w:sz w:val="20"/>
                <w:szCs w:val="20"/>
                <w:lang w:eastAsia="hr-HR"/>
                <w14:ligatures w14:val="none"/>
              </w:rPr>
              <w:lastRenderedPageBreak/>
              <w:t>tema europskih politika, strategija i inicijativa, uključujući Europski zeleni plan. Na RH razini dostupan je priručnik za hotele (https://mint.gov.hr/vijesti-22984/predstavljen-prirucnik-za-hotele-smanji-otpad-od-hrane-kuhaj-za-svoje-goste-22830-23004/23004) izrađen u okviru projekta »Smanji otpad od hrane, kuhaj za svoje goste« https://www.fzoeu.hr/UserDocsImages/brosure/Priru%C4%8Dnik%20za%20hotele%20-%20Smanji%20otpad%20od%20hrane%20kuhaj%20za%20svoje%20goste.pdf</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Obilježja podataka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Usvojene Smjernice i/ili Plan sprječavanja i smanjenja nastajanja otpada od hrane (dokument) u turističkim poslovnim subjektima u destinaciji kojeg u okviru svoga poslovanja provode poslovni subjekti i obrtnici u ugostiteljstvu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/potencijalni izvor</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Anketa poslovnih subjekata i obrtnika u ugostiteljstvu (NKD 56)</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i podatkovni jaz</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(poveznica na prijedlog)</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Anketa gospodarskih subjekata i obrtnika u djelatnosti NKD 56 u destinaciji o donošenju i provedbi Plana (potrebno kreirati)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Svake dvije godine</w:t>
            </w:r>
          </w:p>
        </w:tc>
      </w:tr>
      <w:tr w:rsidR="00702E3C">
        <w:tc>
          <w:tcPr>
            <w:tcW w:w="5461"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informacija o donesenim Smjernicama i/ili Planu sprječavanja i smanjenja nastajanja otpada od hrane u turističkim poslovnim subjektima u destinaciji</w:t>
            </w:r>
          </w:p>
        </w:tc>
      </w:tr>
      <w:tr w:rsidR="00702E3C">
        <w:tc>
          <w:tcPr>
            <w:tcW w:w="5461"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5461"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produžuje proces</w:t>
            </w:r>
          </w:p>
        </w:tc>
      </w:tr>
      <w:tr w:rsidR="00702E3C">
        <w:tc>
          <w:tcPr>
            <w:tcW w:w="5461"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8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85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85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5461"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38,89%</w:t>
            </w:r>
          </w:p>
        </w:tc>
        <w:tc>
          <w:tcPr>
            <w:tcW w:w="8565"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104" w:name="_Toc217040732"/>
      <w:r>
        <w:rPr>
          <w:rFonts w:ascii="Times New Roman" w:eastAsia="Times New Roman" w:hAnsi="Times New Roman" w:cs="Times New Roman"/>
          <w:lang w:eastAsia="hr-HR"/>
        </w:rPr>
        <w:lastRenderedPageBreak/>
        <w:t>Zaštita bioraznolikosti</w:t>
      </w:r>
      <w:bookmarkEnd w:id="104"/>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15"/>
        <w:gridCol w:w="4128"/>
        <w:gridCol w:w="2581"/>
        <w:gridCol w:w="2580"/>
        <w:gridCol w:w="2580"/>
      </w:tblGrid>
      <w:tr w:rsidR="00702E3C">
        <w:tc>
          <w:tcPr>
            <w:tcW w:w="200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879"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Razvijen sustav za zaštitu prirodne i kulturne baštine i lokaliteta (SZB-1)</w:t>
            </w:r>
          </w:p>
        </w:tc>
      </w:tr>
      <w:tr w:rsidR="00702E3C">
        <w:tc>
          <w:tcPr>
            <w:tcW w:w="200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0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Sustav upravljanja za zaštitu prirodnih i kulturnih lokaliteta, uključujući građevinsku baštinu i ruralne i urbane pejzaže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bioraznolikost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Razvijen sustav zaštite prirodne i kulturne baštine ključan je za očuvanje i revitalizaciju urbanih i ruralnih područja, čime se doprinosi održivosti i otpornosti zajednica.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15: Život na zemlji – Ovaj sustav igra važnu ulogu u zaštiti i očuvanju biološke raznolikosti te prirodnih staništa, što je temeljno za očuvanje ekosustava.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17: Partnerstva za ciljeve – Suradnja među dionicima, uključujući vladine, nevladine organizacije i lokalne zajednice, ključna je za uspostavu učinkovitih sustava zaštite.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skup mjera, politika i aktivnosti usmjerenih na očuvanje, zaštitu i promicanje prirodne i kulturne baštine unutar turističke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Sustav uključuje zakonske regulative, fizičke mjere zaštite, edukativne programe i suradnju s lokalnim zajednicama.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je očuvanje autentičnosti, raznolikosti i povijesne vrijednosti lokaliteta, uz minimiziranje negativnog utjecaja turizma. Efikasan sustav zaštite potiče održivi razvoj turizma i povećava svijest posjetitelja o važnosti očuvanja prirodne i kulturne baštine.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(opcinalno)</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objavljen dokument strategije i/ili plana koji sadrži mjere zaštite i očuvanja baštine na području destinacije.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uspostavljen sustav monitoringa efikasnosti provedenih mjera zaštite i očuvanja baštine na području destinacije.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Strategija / plan / smjernice izrađene i javno dostupne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Razvijen i implementiran sustav pokazatelja za praćenje učinkovitosti implementiranih mjera –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Višegodišnji plan i/ili strategija / smjernice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Uspostavljena i ažurirana baza podataka mjera i aktivnosti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JLS / relevantna javna tijela (Uprava za zaštitu kulturne baštine, Ministarstvo kulture i medija; Upisnik zaštićenih područja, Ministarstvo gospodarstva i održivog razvoja)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JLS / relevantna javna tijela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Podatak dostupan TZ ili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Svake dvije godine</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Preuzima se temeljem prikupljenih podataka</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Financijska i tehnička ograničenja: Sustavi zaštite često zahtijevaju znatna financijska sredstva i stručnu ekspertizu.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Suradnja i provedba: Učinkovita provedba zahtijeva suradnju između različitih dionika, što može biti izazov.</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Održavanje i nadzor: Kontinuirano održavanje i nadzor nad lokalitetima mogu biti teški zbog nedostatka resursa ili pristupa.</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59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59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59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it-IT" w:eastAsia="hr-HR"/>
                <w14:ligatures w14:val="none"/>
              </w:rPr>
            </w:pPr>
            <w:r>
              <w:rPr>
                <w:rFonts w:ascii="Times New Roman" w:eastAsia="Times New Roman" w:hAnsi="Times New Roman" w:cs="Times New Roman"/>
                <w:b/>
                <w:bCs/>
                <w:kern w:val="0"/>
                <w:sz w:val="20"/>
                <w:szCs w:val="20"/>
                <w:lang w:val="it-IT" w:eastAsia="hr-HR"/>
                <w14:ligatures w14:val="none"/>
              </w:rPr>
              <w:t>DA (PU Natura jadera, PU Telašćica, PU ekološka mreža)</w:t>
            </w:r>
          </w:p>
        </w:tc>
        <w:tc>
          <w:tcPr>
            <w:tcW w:w="777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16"/>
        <w:gridCol w:w="4128"/>
        <w:gridCol w:w="2585"/>
        <w:gridCol w:w="2578"/>
        <w:gridCol w:w="2577"/>
      </w:tblGrid>
      <w:tr w:rsidR="00702E3C">
        <w:tc>
          <w:tcPr>
            <w:tcW w:w="200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879" w:type="dxa"/>
            <w:gridSpan w:val="4"/>
            <w:tcBorders>
              <w:top w:val="single" w:sz="6" w:space="0" w:color="auto"/>
              <w:left w:val="single" w:sz="6" w:space="0" w:color="auto"/>
              <w:bottom w:val="single" w:sz="6" w:space="0" w:color="auto"/>
              <w:right w:val="single" w:sz="6" w:space="0" w:color="auto"/>
            </w:tcBorders>
            <w:shd w:val="clear" w:color="auto" w:fill="FAE0D0" w:themeFill="accent4"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Dostupne smjernice za ponašanje posjetitelja u destinaciji (SZB-2)</w:t>
            </w:r>
          </w:p>
        </w:tc>
      </w:tr>
      <w:tr w:rsidR="00702E3C">
        <w:tc>
          <w:tcPr>
            <w:tcW w:w="200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Povezanost pokazatelja sa sustavima</w:t>
            </w:r>
          </w:p>
        </w:tc>
        <w:tc>
          <w:tcPr>
            <w:tcW w:w="409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Kulturne i ekološke smjernice za ponašanje posjetitelja na osjetljivim mjestima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Smjernice za ponašanje posjetitelja doprinose stvaranju održivih, otpornih urbanih područja, pomažući u upravljanju turističkim destinacijama na način koji štiti lokalnu zajednicu i okoliš.</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Dostojan rad i ekonomski rast – Pravilno vođenje posjetitelja može pridonijeti održivom turizmu, što potiče ekonomski rast i stvaranje kvalitetnih radnih mjesta u turističkom sektoru.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Održiva potrošnja i proizvodnja – Smjernice za održivo ponašanje posjetitelja doprinose smanjenju negativnog utjecaja turizma na okoliš i promiču održive prakse.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17: Partnerstva za ciljeve – Razvoj i provedba ovakvih smjernica često uključuju suradnju između različitih dionika, što je ključno za uspješnu implementaciju održivih turističkih strategija.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skup pravila i preporuka koje su dostupne turistima i posjetiteljima, a koje objašnjavaju prihvatljive obrasce ponašanja i interakcije unutar turističke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Smjernice uključuju informacije o lokalnim običajima, zakonima, zaštiti okoliša, i interakciji s lokalnom zajednicom. Cilj je promicanje održivog turizma i osiguravanje da posjetitelji pozitivno doprinose destinaciji, umjesto da je opterećuju. Pružaju ključne informacije za očuvanje kulturnog i prirodnog nasljeđa destinacije te zaštite prava i dobrobiti lokalnog stanovništva.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objavljen i javno dostupan dokument na području destinacije (lokaliteta) i virtualno na web-stranici destinacije (lokaliteta)koji sadrži smjernice za ponašanje posjetitelja.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pokrenuta kampanja s ciljem upoznavanja posjetitelja sa smjernicama za prihvatljivo ponašanje.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Smjernice su izrađene i javno dostupne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Dokaz o kreiranoj i pokrenutoj informativnoj kampanji –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 Izrađene, prezentirane, javno dostupne smjernice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Provedena kampanja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Turistička zajednica / JLS / lokalitet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Turistička zajednica /JLS / lokalitet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Turistička zajednica/JLS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Svake dvije godine</w:t>
            </w:r>
          </w:p>
        </w:tc>
      </w:tr>
      <w:tr w:rsidR="00702E3C">
        <w:tc>
          <w:tcPr>
            <w:tcW w:w="6103"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Kvalitativni pokazatelj</w:t>
            </w:r>
          </w:p>
        </w:tc>
      </w:tr>
      <w:tr w:rsidR="00702E3C">
        <w:tc>
          <w:tcPr>
            <w:tcW w:w="6103"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103"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7781"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Smjernice možda nisu dostupne na svim jezicima ili prilagođene osobama s posebnim potrebama. Smjernice se moraju redovito ažurirati i biti relevantne za lokalni kontekst, a njihova učinkovitost može biti teško mjerljiva.</w:t>
            </w:r>
          </w:p>
        </w:tc>
      </w:tr>
      <w:tr w:rsidR="00702E3C">
        <w:tc>
          <w:tcPr>
            <w:tcW w:w="6103"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 xml:space="preserve">Početna vrijednost 2025. </w:t>
            </w:r>
          </w:p>
        </w:tc>
        <w:tc>
          <w:tcPr>
            <w:tcW w:w="259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59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0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DA</w:t>
            </w:r>
          </w:p>
        </w:tc>
        <w:tc>
          <w:tcPr>
            <w:tcW w:w="259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59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59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4B1C83">
      <w:pPr>
        <w:pStyle w:val="Naslov2"/>
        <w:numPr>
          <w:ilvl w:val="1"/>
          <w:numId w:val="23"/>
        </w:numPr>
        <w:rPr>
          <w:rFonts w:ascii="Times New Roman" w:eastAsia="Times New Roman" w:hAnsi="Times New Roman" w:cs="Times New Roman"/>
          <w:lang w:eastAsia="hr-HR"/>
        </w:rPr>
      </w:pPr>
      <w:bookmarkStart w:id="105" w:name="_Toc217040733"/>
      <w:r>
        <w:rPr>
          <w:rFonts w:ascii="Times New Roman" w:eastAsia="Times New Roman" w:hAnsi="Times New Roman" w:cs="Times New Roman"/>
          <w:lang w:eastAsia="hr-HR"/>
        </w:rPr>
        <w:t>Održivo upravljanje energijom</w:t>
      </w:r>
      <w:bookmarkEnd w:id="105"/>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1826"/>
        <w:gridCol w:w="4107"/>
        <w:gridCol w:w="2655"/>
        <w:gridCol w:w="2649"/>
        <w:gridCol w:w="2647"/>
      </w:tblGrid>
      <w:tr w:rsidR="00702E3C">
        <w:tc>
          <w:tcPr>
            <w:tcW w:w="1811"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Pokazatelj (kod pokazatelja)</w:t>
            </w:r>
          </w:p>
        </w:tc>
        <w:tc>
          <w:tcPr>
            <w:tcW w:w="12073"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Udio turističkih poslovnih subjekata koji su implementirali neka od rješenja za ublažavanje i prilagodbu klimatskim promjenama (SOE-1)</w:t>
            </w:r>
          </w:p>
        </w:tc>
      </w:tr>
      <w:tr w:rsidR="00702E3C">
        <w:tc>
          <w:tcPr>
            <w:tcW w:w="1811"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Povezanost pokazatelja sa sustavima</w:t>
            </w:r>
          </w:p>
        </w:tc>
        <w:tc>
          <w:tcPr>
            <w:tcW w:w="405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xml:space="preserve">Povezanost </w:t>
            </w:r>
            <w:r>
              <w:rPr>
                <w:rFonts w:ascii="Times New Roman" w:eastAsia="Times New Roman" w:hAnsi="Times New Roman" w:cs="Times New Roman"/>
                <w:kern w:val="0"/>
                <w:sz w:val="18"/>
                <w:szCs w:val="18"/>
                <w:lang w:eastAsia="hr-HR"/>
                <w14:ligatures w14:val="none"/>
              </w:rPr>
              <w:softHyphen/>
              <w:t>pokazatelja s međunarodnim sustavima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ETIS: Postotak turističkih poslovnih subjekata uključenih u programe ublažavanja klimatskih promjena – kao što su: kompenzacija CO2, niskoenergetski sustavi itd. – i odgovori i radnje »prilagodbe« (D.2.1.)</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Članak 14. stavak 2. Zakona o turizmu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ublažavanje i prilagodba klimatskim promjenama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 održivo upravljanje energijom (aspekt ublažavanja klimatskih promjena)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3 – Zdravlje i dobrobit</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Cilj 13 – Očuvanje klime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Strategija razvoja održivog turizma RH do 2030.: SC2, PP 2.3. Smanjenje negativnog utjecaja turizma na klimu (indikator: II.02.8.27 Emisije CO₂ u zrak prema NACE (revizija II) aktivnostima u turizmu).</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Nacionalni plan razvoja održivog turizma do 2027.: PC4. Smanjenje negativnog međuodnosa turizma i klime (indikatori: Intenzitet stakleničkih plinova prouzročen turizmom i Energetska intenzivnost u turizmu).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Definicija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daje informaciju o udjelu turističkih poslovnih subjekata koji sustavno provode mjere i aktivnosti ublažavanja i prilagodbe klimatskim promjenama u odnosu na ukupan broj poslovnih subjekata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Opis i svrha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Većina turističkih poslovnih subjekata u svom poslovanju koristi u cijelosti ili djelomično neobnovljive izvore energije. Mnogi se turistički poslovni subjekti nalaze u područjima osjetljivim na poplave, sušu i druge štetne utjecaje klimatskih promjena. Za uspostavu i provođenje mjera i aktivnosti u područjima ublažavanje klimatskih promjena (npr. smanjenje emisija CO</w:t>
            </w:r>
            <w:r>
              <w:rPr>
                <w:rFonts w:ascii="Times New Roman" w:eastAsia="Times New Roman" w:hAnsi="Times New Roman" w:cs="Times New Roman"/>
                <w:kern w:val="0"/>
                <w:sz w:val="14"/>
                <w:szCs w:val="14"/>
                <w:vertAlign w:val="subscript"/>
                <w:lang w:eastAsia="hr-HR"/>
                <w14:ligatures w14:val="none"/>
              </w:rPr>
              <w:t>2</w:t>
            </w:r>
            <w:r>
              <w:rPr>
                <w:rFonts w:ascii="Times New Roman" w:eastAsia="Times New Roman" w:hAnsi="Times New Roman" w:cs="Times New Roman"/>
                <w:kern w:val="0"/>
                <w:sz w:val="18"/>
                <w:szCs w:val="18"/>
                <w:lang w:eastAsia="hr-HR"/>
                <w14:ligatures w14:val="none"/>
              </w:rPr>
              <w:t> iz smještajnih kapaciteta, uvođenje obnovljivih oblika energije u prometu i smještaju, poticanje korištenja nisko-energetskih sustava, smanjenje korištenja jednokratne plastike kao jednog od proizvoda fosilnih goriva) te za prilagodbu klimi (odgovor na neke od neizbježnih utjecaja i rizika, npr. na poplavu, sušu, podizanje razine mora) poslovni subjekti mogu implementirati neke od rješenja za dekarbonizaciju (ublažavanje) i prilagodbu klimatskim promjenama. Za njihovu implementaciju turistički poslovni subjekt može primijeniti smjernice pravnog okvira (Nadležno ministarstvo https://mingor.gov.hr/djelokrug/uprava-za-procjenu-utjecaja-na-okolis-i-odrzivo-gospodarenje-otpadom-1271/procjena-utjecaja-na-okolis-puo-spuo/smjernice-7641/smjernice-za-pripremu-infrastrukture-klimatskim-promjenama/7643), inicijative (npr. GSTC Destination criteria, Glasgow Deslaration i sl.), programe (npr. GEF Global Program to Support Electric Mobility), kao i sustave upravljanja okolišem (EMAS; ISO 14001) ili smjernice ekološkog označavanja (npr. EU Ecolabel) verificirane od treće strane i sl. Svrha pokazatelja je na angažiranost destinacije u planiranju i upravljanju klimatski održivim poslovanjem te razinu integracije izazova i rješenja za ublažavanje i prilagodbu klimatskim promjenama u svijesti šire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18"/>
                <w:szCs w:val="18"/>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Podpokazatelji</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Broj turističkih poslovnih subjekata koji su implementirali rješenja za ublažavanje klimatskih promjena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lastRenderedPageBreak/>
              <w:t>2. Broj turističkih poslovnih subjekata koji su implementirali rješenja za prilagodbu klimatskim promjenama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3. Ukupan broj turističkih poslovnih subjekata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Mjerna jedinica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Izvor podataka/potencijalni izvor</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Anketa gospodarskih subjekata u turističkim djelatnostima (minimalno prema NKD 55, 56 i 79)</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Dostupnost podataka i podatkovni jaz</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1. 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Primarno istraživanje (smjernice)</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Potrebno je dizajnirati anketu i provesti primarno istraživanje broja turističkih poslovnih subjekata koji su implementirali rješenja (mjere i aktivnosti) za ublažavanje i prilagodbu klimatskim promjenama, minimalno za poslovne subjekte razvrstane u NKD 55, 56 i 79.</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Periodičnost prikupljanja podataka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dvije godine</w:t>
            </w:r>
          </w:p>
        </w:tc>
      </w:tr>
      <w:tr w:rsidR="00702E3C">
        <w:tc>
          <w:tcPr>
            <w:tcW w:w="5865"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Pokazatelj se izračunava kao udio turističkih poslovnih subjekata koji su implementirali rješenja za ublažavanje (PS</w:t>
            </w:r>
            <w:r>
              <w:rPr>
                <w:rFonts w:ascii="Times New Roman" w:eastAsia="Times New Roman" w:hAnsi="Times New Roman" w:cs="Times New Roman"/>
                <w:kern w:val="0"/>
                <w:sz w:val="14"/>
                <w:szCs w:val="14"/>
                <w:vertAlign w:val="subscript"/>
                <w:lang w:eastAsia="hr-HR"/>
                <w14:ligatures w14:val="none"/>
              </w:rPr>
              <w:t>r)</w:t>
            </w:r>
            <w:r>
              <w:rPr>
                <w:rFonts w:ascii="Times New Roman" w:eastAsia="Times New Roman" w:hAnsi="Times New Roman" w:cs="Times New Roman"/>
                <w:kern w:val="0"/>
                <w:sz w:val="18"/>
                <w:szCs w:val="18"/>
                <w:lang w:eastAsia="hr-HR"/>
                <w14:ligatures w14:val="none"/>
              </w:rPr>
              <w:t> i/ili prilagodbu klimatskim promjenama u odnosu na ukupan broj turističkih poslovnih subjekata u destinaciji (PS</w:t>
            </w:r>
            <w:r>
              <w:rPr>
                <w:rFonts w:ascii="Times New Roman" w:eastAsia="Times New Roman" w:hAnsi="Times New Roman" w:cs="Times New Roman"/>
                <w:kern w:val="0"/>
                <w:sz w:val="14"/>
                <w:szCs w:val="14"/>
                <w:vertAlign w:val="subscript"/>
                <w:lang w:eastAsia="hr-HR"/>
                <w14:ligatures w14:val="none"/>
              </w:rPr>
              <w:t>u</w:t>
            </w:r>
            <w:r>
              <w:rPr>
                <w:rFonts w:ascii="Times New Roman" w:eastAsia="Times New Roman" w:hAnsi="Times New Roman" w:cs="Times New Roman"/>
                <w:kern w:val="0"/>
                <w:sz w:val="18"/>
                <w:szCs w:val="18"/>
                <w:lang w:eastAsia="hr-HR"/>
                <w14:ligatures w14:val="none"/>
              </w:rPr>
              <w:t>).</w:t>
            </w:r>
          </w:p>
          <w:p w:rsidR="00702E3C" w:rsidRDefault="00702E3C">
            <w:pPr>
              <w:spacing w:after="48" w:line="240" w:lineRule="auto"/>
              <w:textAlignment w:val="baseline"/>
              <w:rPr>
                <w:rFonts w:ascii="Times New Roman" w:eastAsia="Times New Roman" w:hAnsi="Times New Roman" w:cs="Times New Roman"/>
                <w:kern w:val="0"/>
                <w:sz w:val="18"/>
                <w:szCs w:val="18"/>
                <w:lang w:eastAsia="hr-HR"/>
                <w14:ligatures w14:val="none"/>
              </w:rPr>
            </w:pP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m:oMathPara>
              <m:oMath>
                <m:r>
                  <w:rPr>
                    <w:rFonts w:ascii="Cambria Math" w:eastAsia="Times New Roman" w:hAnsi="Cambria Math" w:cs="Times New Roman"/>
                    <w:kern w:val="0"/>
                    <w:sz w:val="18"/>
                    <w:szCs w:val="18"/>
                    <w:lang w:eastAsia="hr-HR"/>
                    <w14:ligatures w14:val="none"/>
                  </w:rPr>
                  <m:t xml:space="preserve">Udio PS s implementiranim rješenjima = </m:t>
                </m:r>
                <m:f>
                  <m:fPr>
                    <m:ctrlPr>
                      <w:rPr>
                        <w:rFonts w:ascii="Cambria Math" w:eastAsia="Times New Roman" w:hAnsi="Cambria Math" w:cs="Times New Roman"/>
                        <w:i/>
                        <w:kern w:val="0"/>
                        <w:sz w:val="18"/>
                        <w:szCs w:val="18"/>
                        <w:lang w:eastAsia="hr-HR"/>
                        <w14:ligatures w14:val="none"/>
                      </w:rPr>
                    </m:ctrlPr>
                  </m:fPr>
                  <m:num>
                    <m:r>
                      <w:rPr>
                        <w:rFonts w:ascii="Cambria Math" w:eastAsia="Times New Roman" w:hAnsi="Cambria Math" w:cs="Times New Roman"/>
                        <w:kern w:val="0"/>
                        <w:sz w:val="18"/>
                        <w:szCs w:val="18"/>
                        <w:lang w:eastAsia="hr-HR"/>
                        <w14:ligatures w14:val="none"/>
                      </w:rPr>
                      <m:t>PSr</m:t>
                    </m:r>
                  </m:num>
                  <m:den>
                    <m:r>
                      <w:rPr>
                        <w:rFonts w:ascii="Cambria Math" w:eastAsia="Times New Roman" w:hAnsi="Cambria Math" w:cs="Times New Roman"/>
                        <w:kern w:val="0"/>
                        <w:sz w:val="18"/>
                        <w:szCs w:val="18"/>
                        <w:lang w:eastAsia="hr-HR"/>
                        <w14:ligatures w14:val="none"/>
                      </w:rPr>
                      <m:t>PSu</m:t>
                    </m:r>
                  </m:den>
                </m:f>
                <m:r>
                  <w:rPr>
                    <w:rFonts w:ascii="Cambria Math" w:eastAsia="Times New Roman" w:hAnsi="Cambria Math" w:cs="Times New Roman"/>
                    <w:kern w:val="0"/>
                    <w:sz w:val="18"/>
                    <w:szCs w:val="18"/>
                    <w:lang w:eastAsia="hr-HR"/>
                    <w14:ligatures w14:val="none"/>
                  </w:rPr>
                  <m:t xml:space="preserve"> ×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5865"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b/>
                <w:bCs/>
                <w:kern w:val="0"/>
                <w:sz w:val="18"/>
                <w:szCs w:val="18"/>
                <w:lang w:eastAsia="hr-HR"/>
                <w14:ligatures w14:val="none"/>
              </w:rPr>
              <w:t>Učestalost mjerenja</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Svake dvije godine</w:t>
            </w:r>
          </w:p>
        </w:tc>
      </w:tr>
      <w:tr w:rsidR="00702E3C">
        <w:tc>
          <w:tcPr>
            <w:tcW w:w="5865"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Nužna je provedba primarnog istraživanja – produžuje proces.</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Napomena: turistički poslovni subjekti mogu implementirati rješenja, mjere i aktivnosti u oba područja – ublažavanje i prilagodba ili u samo jednom od područja. Preporuča se rezultate istraživanja prikupljati zasebno u navedena dva područja.</w:t>
            </w:r>
          </w:p>
          <w:p w:rsidR="00702E3C" w:rsidRDefault="004B1C83">
            <w:pPr>
              <w:spacing w:after="48" w:line="240" w:lineRule="auto"/>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Turističke poslovne subjekte je za potrebe primarnih istraživanja potrebno razvrstati minimalno prema NKD 55, 56 i 79 ili u slučaju provedbe sveobuhvatnijeg primarnog istraživanja npr. sukladno opisu turističkih djelatnosti prema IRTS 2008.</w:t>
            </w:r>
          </w:p>
        </w:tc>
      </w:tr>
      <w:tr w:rsidR="00702E3C">
        <w:tc>
          <w:tcPr>
            <w:tcW w:w="5865"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67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2027</w:t>
            </w:r>
          </w:p>
        </w:tc>
        <w:tc>
          <w:tcPr>
            <w:tcW w:w="267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2029</w:t>
            </w:r>
          </w:p>
        </w:tc>
        <w:tc>
          <w:tcPr>
            <w:tcW w:w="267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18"/>
                <w:szCs w:val="18"/>
                <w:lang w:eastAsia="hr-HR"/>
                <w14:ligatures w14:val="none"/>
              </w:rPr>
            </w:pPr>
            <w:r>
              <w:rPr>
                <w:rFonts w:ascii="Times New Roman" w:eastAsia="Times New Roman" w:hAnsi="Times New Roman" w:cs="Times New Roman"/>
                <w:kern w:val="0"/>
                <w:sz w:val="18"/>
                <w:szCs w:val="18"/>
                <w:lang w:eastAsia="hr-HR"/>
                <w14:ligatures w14:val="none"/>
              </w:rPr>
              <w:t>2031</w:t>
            </w:r>
          </w:p>
        </w:tc>
      </w:tr>
      <w:tr w:rsidR="00702E3C">
        <w:tc>
          <w:tcPr>
            <w:tcW w:w="586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rsidP="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7,10%</w:t>
            </w:r>
          </w:p>
        </w:tc>
        <w:tc>
          <w:tcPr>
            <w:tcW w:w="8019"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18"/>
                <w:szCs w:val="18"/>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lastRenderedPageBreak/>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07"/>
        <w:gridCol w:w="2708"/>
        <w:gridCol w:w="3250"/>
        <w:gridCol w:w="1991"/>
        <w:gridCol w:w="1971"/>
        <w:gridCol w:w="1957"/>
      </w:tblGrid>
      <w:tr w:rsidR="00702E3C">
        <w:tc>
          <w:tcPr>
            <w:tcW w:w="1948"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936"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Postotak turista i jednodnevnih posjetitelja koji koriste različita prometna sredstva za dolazak na odredište (javna/privatna i vrsta) (SOE-2)</w:t>
            </w:r>
          </w:p>
        </w:tc>
      </w:tr>
      <w:tr w:rsidR="00702E3C">
        <w:tc>
          <w:tcPr>
            <w:tcW w:w="1948"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Postotak turista i jednodnevnih posjetitelja koji koriste različita prometna sredstva za dolazak na odredište (prilagođeno).</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pristupačnost destinacije, održivo upravljanje destinacijom, ublažavanje i prilagodba klimatskih promjena.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13 – Odgovorni na klimatske promjene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3. Smanjenje negativnog utjecaja turizma na sastavnice okoliša, prirodu i prostor; 4. Smanjenje negativnog međuodnosa turizma i klime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turista/jednodnevnih posjetitelja koji su koristili sredstva javnog prijevoza za dolazak na odredište.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Praćenjem vrijednosti pokazatelja za turiste i jednodnevne posjetitelje dobiva se bolja slika o dostupnosti odredišta putem održivih načina transporta. Vrijednosti podpokazatelja daju uvid u strukturu prometnih sredstava kojima turisti dolaze u odredište.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Udio turista koji su primarno koristili automobil u dolasku u odredište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Udio turista koji su primarno koristili zrakoplov u dolasku u odredište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Udio turista koji su primarno koristili autobus u dolasku u odredište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 Udio turista koji su primarno koristili željeznicu u dolasku u odredište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5. Udio turista koji su primarno koristili brod u dolasku u odredište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6. Udio turista koji su primarno koristili neko drugo sredstvo u dolasku u odredište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Spomenuti podpokazatelji se mogu računati za sve posjetitelje zajedno, odnosno zasebno za turiste, jednodnevne posjetitelje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Prijevozno sredstvo koje je primarno korišteno u dolasku u destinaciju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N/P</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Anketa o zadovoljstvu turista, Anketa jednodnevnih posjetitelja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Podataka o broju turista/jednodnevnih posjetitelja koji su određenim prometnim sredstvom došli u destinaciju nema i potrebno ih je prikupiti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Primarnim istraživanjem potrebno je prikupiti podatke o vrsti posjetitelja i o prijevoznom sredstvu koje je posjetitelj primarno koristio u dolasku u destinaciju. Primarno istraživanje se može uklopiti u ankete turista, odnosno jednodnevnih posjetitelja.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7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Godišnje</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BP – </w:t>
            </w:r>
            <w:r>
              <w:rPr>
                <w:rFonts w:ascii="Times New Roman" w:eastAsia="Times New Roman" w:hAnsi="Times New Roman" w:cs="Times New Roman"/>
                <w:kern w:val="0"/>
                <w:sz w:val="20"/>
                <w:szCs w:val="20"/>
                <w:lang w:eastAsia="hr-HR"/>
                <w14:ligatures w14:val="none"/>
              </w:rPr>
              <w:t>broj svih posjetitelja određenih obilježja (turisti i jednodnevni posjetitelji)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PP – </w:t>
            </w:r>
            <w:r>
              <w:rPr>
                <w:rFonts w:ascii="Times New Roman" w:eastAsia="Times New Roman" w:hAnsi="Times New Roman" w:cs="Times New Roman"/>
                <w:kern w:val="0"/>
                <w:sz w:val="20"/>
                <w:szCs w:val="20"/>
                <w:lang w:eastAsia="hr-HR"/>
                <w14:ligatures w14:val="none"/>
              </w:rPr>
              <w:t>broj svih posjetitelja određene vrste koji su u dolasku u destinaciju primarno koristili javni prijevoz</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posjetitelja koji su u dolasku u odredište koristili javni prijevoz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PP</m:t>
                    </m:r>
                  </m:num>
                  <m:den>
                    <m:r>
                      <w:rPr>
                        <w:rFonts w:ascii="Cambria Math" w:eastAsia="Times New Roman" w:hAnsi="Cambria Math" w:cs="Times New Roman"/>
                        <w:kern w:val="0"/>
                        <w:sz w:val="20"/>
                        <w:szCs w:val="20"/>
                        <w:lang w:eastAsia="hr-HR"/>
                        <w14:ligatures w14:val="none"/>
                      </w:rPr>
                      <m:t>BP</m:t>
                    </m:r>
                  </m:den>
                </m:f>
                <m:r>
                  <w:rPr>
                    <w:rFonts w:ascii="Cambria Math" w:eastAsia="Times New Roman" w:hAnsi="Cambria Math" w:cs="Times New Roman"/>
                    <w:kern w:val="0"/>
                    <w:sz w:val="20"/>
                    <w:szCs w:val="20"/>
                    <w:lang w:eastAsia="hr-HR"/>
                    <w14:ligatures w14:val="none"/>
                  </w:rPr>
                  <m:t xml:space="preserve"> × 100 </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se računaju na isti način jedino se vrijednost </w:t>
            </w:r>
            <w:r>
              <w:rPr>
                <w:rFonts w:ascii="Times New Roman" w:eastAsia="Times New Roman" w:hAnsi="Times New Roman" w:cs="Times New Roman"/>
                <w:i/>
                <w:iCs/>
                <w:kern w:val="0"/>
                <w:sz w:val="20"/>
                <w:szCs w:val="20"/>
                <w:lang w:eastAsia="hr-HR"/>
                <w14:ligatures w14:val="none"/>
              </w:rPr>
              <w:t>PP </w:t>
            </w:r>
            <w:r>
              <w:rPr>
                <w:rFonts w:ascii="Times New Roman" w:eastAsia="Times New Roman" w:hAnsi="Times New Roman" w:cs="Times New Roman"/>
                <w:kern w:val="0"/>
                <w:sz w:val="20"/>
                <w:szCs w:val="20"/>
                <w:lang w:eastAsia="hr-HR"/>
                <w14:ligatures w14:val="none"/>
              </w:rPr>
              <w:t>određuje kao broj posjetitelja koji su pri dolasku u odredište koristili određenu vrstu prijevoznog sredstva.</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Podatke za izračun pokazatelja je potrebno prikupiti primarnim istraživanjem. Primarno istraživanje može biti uklopljeno u primarna istraživanja zadovoljstva turista, odnosno jednodnevnih posjetitelja. Kod jednodnevnih posjetitelja bitno je istaknuti da nas zanima kojim prijevoznim sredstvom su baš taj dan jednodnevni posjetitelji došli u odredište. Po potrebi se mogu dodati podpokazatelji za druga prijevozna sredstva (npr. motor, bicikl ili unajmljeno prijevozno sredstvo).</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326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0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8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197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38,46%</w:t>
            </w:r>
          </w:p>
        </w:tc>
        <w:tc>
          <w:tcPr>
            <w:tcW w:w="921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4B1C83">
      <w:pPr>
        <w:pStyle w:val="Naslov2"/>
        <w:numPr>
          <w:ilvl w:val="1"/>
          <w:numId w:val="23"/>
        </w:numPr>
        <w:rPr>
          <w:rFonts w:ascii="Times New Roman" w:eastAsia="Times New Roman" w:hAnsi="Times New Roman" w:cs="Times New Roman"/>
          <w:lang w:eastAsia="hr-HR"/>
        </w:rPr>
      </w:pPr>
      <w:bookmarkStart w:id="106" w:name="_Toc217040734"/>
      <w:r>
        <w:rPr>
          <w:rFonts w:ascii="Times New Roman" w:eastAsia="Times New Roman" w:hAnsi="Times New Roman" w:cs="Times New Roman"/>
          <w:lang w:eastAsia="hr-HR"/>
        </w:rPr>
        <w:lastRenderedPageBreak/>
        <w:t>Ublažavanje i prilagodba klimatskim promjenama</w:t>
      </w:r>
      <w:bookmarkEnd w:id="106"/>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18"/>
        <w:gridCol w:w="2381"/>
        <w:gridCol w:w="4313"/>
        <w:gridCol w:w="2588"/>
        <w:gridCol w:w="2584"/>
      </w:tblGrid>
      <w:tr w:rsidR="00702E3C">
        <w:tc>
          <w:tcPr>
            <w:tcW w:w="200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87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Uspostavljene politike za poticanje smanjena ovisnosti o fosilnim gorivima, poboljšanja energetske učinkovitosti i unapređenja korištenja tehnologija obnovljive energije (SUPK-1)</w:t>
            </w:r>
          </w:p>
        </w:tc>
      </w:tr>
      <w:tr w:rsidR="00702E3C">
        <w:tc>
          <w:tcPr>
            <w:tcW w:w="200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Politike i poticaji za smanjenje ovisnosti o fosilnim gorivima, poboljšanje energetske učinkovitosti i poticanje usvajanja i korištenja tehnologija obnovljive energije (IN-D5.b.)</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održivo upravljanje energijom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ublažavanje i prilagodba klimatskim promjenama (aspekt ublažavanja klimatskih promjena)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13 Očuvanje klime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Strategije razvoja održivog turizma RH do 2030.: SC2, PP 2.3. Smanjenje negativnog utjecaja turizma na klimu (indikator: II.02.8.27 Emisije CO₂ u zrak prema NACE (revizija II) aktivnostima u turizmu).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Nacionalni plan razvoja održivog turizma do 2027.: PC4.Smanjenje negativnog međuodnosa turizma i klime (indikatori: Intenzitet stakleničkih plinova prouzročen turizmom i Energetska intenzivnost u turizmu)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utvrđuje je li destinacija uspostavila politiku i/ili sustav poticanja za ublažavanje klimatskih promjena (dekarbonizacija) u turizmu.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 skladu s obvezama iz nacionalnog pravnog okvira, globalnih i EU inicijativa te akcija koje potiču dekarbonizaciju svih sektora, pa tako i svih djelatnosti u turizmu, destinacije mogu uspostaviti politike (usvojenu strategiju i/ili plan i/ili program i sl.) i/ili sustav za poticanje turističkih poslovnih subjekata na mjerenje, praćenje, smanjenje i javno izvještavanje o potrošnji energije te smanjenju ovisnosti o fosilnim gorivima. Sustav za poticanje može uključivati aktivnosti, kao što su provođenje edukacija, informiranje javnosti te objavu poziva za dodjelu financijskih sredstava u svrhu dekarbonizacije poslovanja turističkih poslovnih subjekata. Svrha pokazatelja je osigurati kontinuirano praćenje uspješnosti održivog upravljanja energijom u turizmu na razini destinacije te dobiti uvid u trend smanjivanja ovisnosti o fosilnim gorivima, poboljšanje energetske učinkovitosti i unapređenje korištenja tehnologija obnovljive energije.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Uspostavljene politike za ublažavanje klimatskih promjena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Upravni odjeli JLS/Nadležno Ministarstvo i turističke zajednice (u daljnjem tekstu: TZ)</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djelomično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3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informacija ima li destinacija uspostavljenu politiku dekarbonizacije u turizmu na razini destinacije.</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Dio informacija se nalazi u Bazi dokumenata održivog razvitka i zaštite okoliša (https://dokumenti.azo.hr/Pretrazivanje.aspx, kategorija Zrak; dokument »Program ublažavanja klimatskih promjena, prilagodbe klimatskim promjenama i zaštite ozonskog sloj«) te na WEB stranicama županija i Grada Zagreba, velikih gradova, gradova i općina RH. Na osnovi Zakona o klimatskim promjenama i zaštiti ozonskog sloja (NN 127/19), čl. 19., predstavničko tijelo županije, Grada Zagreba i velikoga grada donosi »Program ublažavanja klimatskih promjena, prilagodbe klimatskim promjenama i zaštite ozonskog sloja« koji je može biti sastavni dio »Programa zaštite okoliša za područje županije odnosno Grada Zagreba i velikoga grada«. Program se objavljuje u službenom glasilu jedinice lokalne i područne (regionalne) samouprave (u najvećem broju slučajeva dostupno na WEB stranici JL(R)S). Županije odnosno Grad Zagreb koji obavljaju poslove praćenja stanja okoliša dostavljaju tijelu državne uprave nadležnom za zaštitu okoliša raspoložive podatke o aktivnostima vezano za niskougljični razvoj i prilagodbu klimatskim promjenama svake dvije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Za teritorijalnu razine grada i općine Zakon ne predviđa izradu »Programa ublažavanja klimatskih promjena, prilagodbe klimatskim promjenama i zaštite ozonskog sloja«. Stoga je potrebno izvršiti dodatno istraživanje u vidu razmjene informacija s odjelom nadležnim za okoliš u JLS te provesti istraživanje (suradnja s nadležnim tijelima, </w:t>
            </w:r>
            <w:r>
              <w:rPr>
                <w:rFonts w:ascii="Times New Roman" w:eastAsia="Times New Roman" w:hAnsi="Times New Roman" w:cs="Times New Roman"/>
                <w:i/>
                <w:iCs/>
                <w:kern w:val="0"/>
                <w:sz w:val="20"/>
                <w:szCs w:val="20"/>
                <w:lang w:eastAsia="hr-HR"/>
                <w14:ligatures w14:val="none"/>
              </w:rPr>
              <w:t>desk research </w:t>
            </w:r>
            <w:r>
              <w:rPr>
                <w:rFonts w:ascii="Times New Roman" w:eastAsia="Times New Roman" w:hAnsi="Times New Roman" w:cs="Times New Roman"/>
                <w:kern w:val="0"/>
                <w:sz w:val="20"/>
                <w:szCs w:val="20"/>
                <w:lang w:eastAsia="hr-HR"/>
                <w14:ligatures w14:val="none"/>
              </w:rPr>
              <w:t>i sl.)</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431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59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58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438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U izradi je Plan prilagodbe na klimatske promjene</w:t>
            </w:r>
          </w:p>
        </w:tc>
        <w:tc>
          <w:tcPr>
            <w:tcW w:w="949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19"/>
        <w:gridCol w:w="4136"/>
        <w:gridCol w:w="1933"/>
        <w:gridCol w:w="1932"/>
        <w:gridCol w:w="1932"/>
        <w:gridCol w:w="1932"/>
      </w:tblGrid>
      <w:tr w:rsidR="00702E3C">
        <w:tc>
          <w:tcPr>
            <w:tcW w:w="2014"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870"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Razina onečišćenosti zraka u destinaciji (SUPK-2)</w:t>
            </w:r>
          </w:p>
        </w:tc>
      </w:tr>
      <w:tr w:rsidR="00702E3C">
        <w:tc>
          <w:tcPr>
            <w:tcW w:w="2014"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ESA – Europska svemirska agencija – Nadzor kvalitete zraka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ublažavanje i prilagodba klimatskim promjenama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održivo upravljanje energijom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3 – Zdravlje i dobrobit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13 – Očuvanje klime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Strategije razvoja održivog turizma RH do 2030.: SC2, PP 2.3. Smanjenje negativnog utjecaja turizma na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Nacionalni plan razvoja održivog turizma do 2027.: PC4. Smanjenje negativnog međuodnosa turizma i klime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broj dana s Europskim indeksom kvalitete zraka loše, vrlo loše i izuzetno loše kvalitete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Za opis kvalitete zraka koriste se podaci koji opisuju i trenutno stanje kvalitete zraka na pojedinoj mjernoj postaji je određen izmjerenim koncentracijama pet ključnih onečišćujućih tvari u zraku. Razina indeksa je određena najvišom izmjerenom koncentracijom jedne od pet onečišćujućih tvari u zraku u 6 obveznih kategorija (dobro, prihvatljivo, umjereno, loše, vrlo loše i izrazito loše). Svrha pokazatelja je identifikacija pojačanih i učestalijih koncentracija pet ključnih onečišćujućih tvari: lebdeće čestice (PM10 i PM2,5), ozon (O3), dušikov dioksid (NO2), sumpor dioksid (SO2). Na osnovi posebnih propisa kojima se uređuje zaštita i praćenje kvalitete zraka pravna osoba – ispitni laboratorij na području županije, grada Zagreba i gradova izrađuje izvješće o praćenju kvalitete zraka, a na temelju tih izvješća nadležno Ministarstvo javno objavljuje godišnje Izvješće o stanju kvalitete zraka u RH. U </w:t>
            </w:r>
            <w:r>
              <w:rPr>
                <w:rFonts w:ascii="Times New Roman" w:eastAsia="Times New Roman" w:hAnsi="Times New Roman" w:cs="Times New Roman"/>
                <w:kern w:val="0"/>
                <w:sz w:val="20"/>
                <w:szCs w:val="20"/>
                <w:lang w:eastAsia="hr-HR"/>
                <w14:ligatures w14:val="none"/>
              </w:rPr>
              <w:lastRenderedPageBreak/>
              <w:t>navedenim su izvješćima dostupni godišnji podaci o razini onečišćenosti zraka te datumima i razdobljima onečišćenosti zraka koje prekoračuju granične, ciljne i tolerantne vrijednosti (u izvješću nadležnog Ministarstva za pojedine onečišćujuće tvari podaci su djelomično dostupni i za razdoblja ljeto/zima). Navedene su informacije o kvaliteti zraka za prethodnu godinu, kao i godišnja ocjena onečišćenosti zraka po onečišćujućim tvarima za svaku zonu i aglomeraciju prema dvije kategorije: Prva kategorija – čist ili neznatno onečišćen zrak te Druga kategorija – onečišćen zrak. Za dnevno praćenje onečišćenosti zraka moguće je koristiti i Europski indeks kvalitete zraka koji omogućava bolje razumijevanje trenutnog stanja kvalitete zraka u destinaciji za navedene kategorije (Prva i Druga). Kategorija za Umjereno onečišćenje je informativnog karaktera i nije je potrebno navoditi.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Prema kategoriji onečišćenja zraka (Prva/Druga razina kvalitete zraka)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Ukupna ocjena kvalitete zraka za prethodnu godinu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Nadležno Ministarstvo (MINGOR) – portal kvaliteta zraka u Republici Hrvatskoj</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Podatci su dostupni za sa 27 postaja državne mreže i 48 mjernih postaja jedinica područne (regionalne) samouprave, Grada Zagreba, jedinica lokalne samouprave te s mjernih postaja onečišćivača, dok su obrađeni i verificirani podaci u sažetom obliku prezentirani u izvješćima koja su navedena u kategoriji ovog pokazatelja Opis i svrha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140"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Ukupan zbroj broja dana s Europskim indeksom kvalitete zraka loše, vrlo loše i izuzetno loše kvalitete</w:t>
            </w:r>
          </w:p>
        </w:tc>
      </w:tr>
      <w:tr w:rsidR="00702E3C">
        <w:tc>
          <w:tcPr>
            <w:tcW w:w="6140"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Godišnje</w:t>
            </w:r>
          </w:p>
        </w:tc>
      </w:tr>
      <w:tr w:rsidR="00702E3C">
        <w:tc>
          <w:tcPr>
            <w:tcW w:w="6140"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774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su dostupni temeljem trenutne pokrivenosti mjernim postajama. Nužno je ulaganje u dodatne mjerne postaje uz stalnu kontrolu kvalitete podataka.</w:t>
            </w:r>
          </w:p>
        </w:tc>
      </w:tr>
      <w:tr w:rsidR="00702E3C">
        <w:tc>
          <w:tcPr>
            <w:tcW w:w="614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193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4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Nema onečišćenja</w:t>
            </w:r>
          </w:p>
        </w:tc>
        <w:tc>
          <w:tcPr>
            <w:tcW w:w="193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3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lastRenderedPageBreak/>
        <w:br/>
      </w:r>
    </w:p>
    <w:p w:rsidR="00702E3C" w:rsidRDefault="00702E3C">
      <w:pPr>
        <w:shd w:val="clear" w:color="auto" w:fill="FFFFFF"/>
        <w:spacing w:after="0" w:line="240" w:lineRule="auto"/>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09"/>
        <w:gridCol w:w="4108"/>
        <w:gridCol w:w="2606"/>
        <w:gridCol w:w="2584"/>
        <w:gridCol w:w="2577"/>
      </w:tblGrid>
      <w:tr w:rsidR="00702E3C">
        <w:tc>
          <w:tcPr>
            <w:tcW w:w="1990"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894"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turističkih poslovnih subjekata u destinaciji koji koriste lokalno proizvedenu hranu, piće, dobra i usluge u turističkim poslovnim subjektima u destinaciji (SUPK-3)</w:t>
            </w:r>
          </w:p>
        </w:tc>
      </w:tr>
      <w:tr w:rsidR="00702E3C">
        <w:tc>
          <w:tcPr>
            <w:tcW w:w="1990"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 Postotak turističkih poslovnih subjekata u destinaciji koji koriste lokalno proizvedenu hranu, piće, dobra i usluge (prilagođeno)</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Ublažavanje i prilagodba klimatskim promjenama, Održivo upravljanje destinacijom,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 Odgovorna potrošnja i proizvodnja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Cjelogodišnji i regionalno uravnoteženiji turizam;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1. Razvoj vremenski i prostorno ravnomjernije raspoređenog turističkog prometa; 4. Smanjenje negativnog međuodnosa turizma i klime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određuje zajednički udio vrijednosti lokalno proizvedene hrane, pića, dobara i usluga u turističkim poduzećima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Korištenje lokalnih proizvoda i usluga povećava ekonomsku vrijednost turizma. Praćenje tih vrijednosti pomaže u pronalaženju načina za povećanje veze između turističkog sektora i lokalne zajednice kroz podržavanje lokalnih proizvoda, dobara, usluga i poljoprivrede.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Udio lokalno proizvedene hrane u ukupnoj količini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Udio lokalno proizvedenog pića u ukupnoj količini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Udio lokalno proizvedenih dobara u ukupnoj količini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 Udio lokalnih usluga u ukupnim uslugama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4. Udio lokalno proizvedene hrane, pića, dobara i usluga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4. postotak</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4. Anketa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Podatci nisu dostupni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Istraživanje gospodarskih subjekata u turizmu, pitanje o udjelu vrijednosti lokalno proizvedene hrane, pića, dobara i usluga (za svaki dio zasebno, te još i podataka o ukupnom udjelu) u ukupnoj vrijednosti.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046"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Za pokazatelje prikazati koliki je udio poslovnih subjekata kod kojih je vrijednost udjela lokalnih proizvoda u određenim granicama. Prijedlog da granica bude minimalno 40% lokalno proizvedenih proizvoda da bi bili uključeni u kategoriju poslovnih subjekata s lokalno proizvedenim proizvodima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PSL – broj poslovnih subjekata u turizmu s lokalno proizvedenim proizvodima u udjelu od minimalno 40% (villa Nai, Fermata, konoba Regula)</w:t>
            </w:r>
          </w:p>
          <w:p w:rsidR="00702E3C" w:rsidRDefault="004B1C83">
            <w:pPr>
              <w:spacing w:after="0" w:line="240" w:lineRule="auto"/>
              <w:textAlignment w:val="baseline"/>
              <w:rPr>
                <w:rFonts w:ascii="Times New Roman" w:eastAsia="Times New Roman" w:hAnsi="Times New Roman" w:cs="Times New Roman"/>
                <w:i/>
                <w:iCs/>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PS – broj poslovnih subjekata u turizmu</w:t>
            </w:r>
          </w:p>
          <w:p w:rsidR="00702E3C" w:rsidRDefault="00702E3C">
            <w:pPr>
              <w:spacing w:after="0" w:line="240" w:lineRule="auto"/>
              <w:textAlignment w:val="baseline"/>
              <w:rPr>
                <w:rFonts w:ascii="Times New Roman" w:eastAsia="Times New Roman" w:hAnsi="Times New Roman" w:cs="Times New Roman"/>
                <w:i/>
                <w:iCs/>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i/>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PS s lokalnim proizvodima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PSL</m:t>
                    </m:r>
                  </m:num>
                  <m:den>
                    <m:r>
                      <w:rPr>
                        <w:rFonts w:ascii="Cambria Math" w:eastAsia="Times New Roman" w:hAnsi="Cambria Math" w:cs="Times New Roman"/>
                        <w:kern w:val="0"/>
                        <w:sz w:val="20"/>
                        <w:szCs w:val="20"/>
                        <w:lang w:eastAsia="hr-HR"/>
                        <w14:ligatures w14:val="none"/>
                      </w:rPr>
                      <m:t>PS</m:t>
                    </m:r>
                  </m:den>
                </m:f>
                <m:r>
                  <w:rPr>
                    <w:rFonts w:ascii="Cambria Math" w:eastAsia="Times New Roman" w:hAnsi="Cambria Math" w:cs="Times New Roman"/>
                    <w:kern w:val="0"/>
                    <w:sz w:val="20"/>
                    <w:szCs w:val="20"/>
                    <w:lang w:eastAsia="hr-HR"/>
                    <w14:ligatures w14:val="none"/>
                  </w:rPr>
                  <m:t xml:space="preserve"> × 100 </m:t>
                </m:r>
              </m:oMath>
            </m:oMathPara>
          </w:p>
          <w:p w:rsidR="00702E3C" w:rsidRDefault="00702E3C">
            <w:pPr>
              <w:spacing w:after="0" w:line="240" w:lineRule="auto"/>
              <w:textAlignment w:val="baseline"/>
              <w:rPr>
                <w:rFonts w:ascii="Times New Roman" w:eastAsia="Times New Roman" w:hAnsi="Times New Roman" w:cs="Times New Roman"/>
                <w:i/>
                <w:kern w:val="0"/>
                <w:sz w:val="20"/>
                <w:szCs w:val="20"/>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6046"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046"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7838"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bi imao veću vrijednost kada bi mogao obuhvatiti i veličinu gospodarskog subjekta, ali to bi nužno tražilo proširenje anketnog upitnika te povećanje mogućnosti neodgovaranja na anketu. Dodatni uvid se može dobiti ako se gospodarski subjekti klasificiraju prema veličini (npr. prema broju zaposlenih u sezoni) pa se pokazatelji gledaju među subjektima slične veličine.</w:t>
            </w:r>
          </w:p>
        </w:tc>
      </w:tr>
      <w:tr w:rsidR="00702E3C">
        <w:tc>
          <w:tcPr>
            <w:tcW w:w="6046"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6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6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60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046"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16,66%</w:t>
            </w:r>
          </w:p>
        </w:tc>
        <w:tc>
          <w:tcPr>
            <w:tcW w:w="262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6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60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pStyle w:val="Odlomakpopisa"/>
        <w:numPr>
          <w:ilvl w:val="0"/>
          <w:numId w:val="23"/>
        </w:numPr>
        <w:shd w:val="clear" w:color="auto" w:fill="FFFFFF"/>
        <w:spacing w:after="48" w:line="240" w:lineRule="auto"/>
        <w:textAlignment w:val="baseline"/>
        <w:rPr>
          <w:rFonts w:ascii="Times New Roman" w:eastAsia="Times New Roman" w:hAnsi="Times New Roman" w:cs="Times New Roman"/>
          <w:b/>
          <w:bCs/>
          <w:color w:val="54A021" w:themeColor="accent2"/>
          <w:kern w:val="0"/>
          <w:sz w:val="40"/>
          <w:szCs w:val="40"/>
          <w:lang w:eastAsia="hr-HR"/>
          <w14:ligatures w14:val="none"/>
        </w:rPr>
      </w:pPr>
      <w:bookmarkStart w:id="107" w:name="_Toc217040735"/>
      <w:r>
        <w:rPr>
          <w:rStyle w:val="Naslov1Char"/>
          <w:rFonts w:ascii="Times New Roman" w:hAnsi="Times New Roman" w:cs="Times New Roman"/>
          <w:b/>
          <w:bCs/>
          <w:color w:val="54A021" w:themeColor="accent2"/>
        </w:rPr>
        <w:lastRenderedPageBreak/>
        <w:t>SPECIFIČNI POKAZATELJI ODRŽIVOSTI KOJI MJERE UTJECAJ TURIZMA NA GOSPODARSKE ASPEKTE ODRŽIVOSTI</w:t>
      </w:r>
      <w:bookmarkEnd w:id="107"/>
    </w:p>
    <w:p w:rsidR="00702E3C" w:rsidRDefault="004B1C83">
      <w:pPr>
        <w:pStyle w:val="Naslov2"/>
        <w:numPr>
          <w:ilvl w:val="1"/>
          <w:numId w:val="23"/>
        </w:numPr>
        <w:rPr>
          <w:rFonts w:ascii="Times New Roman" w:eastAsia="Times New Roman" w:hAnsi="Times New Roman" w:cs="Times New Roman"/>
          <w:lang w:eastAsia="hr-HR"/>
        </w:rPr>
      </w:pPr>
      <w:bookmarkStart w:id="108" w:name="_Toc217040736"/>
      <w:r>
        <w:rPr>
          <w:rFonts w:ascii="Times New Roman" w:eastAsia="Times New Roman" w:hAnsi="Times New Roman" w:cs="Times New Roman"/>
          <w:lang w:eastAsia="hr-HR"/>
        </w:rPr>
        <w:t>Turistički promet</w:t>
      </w:r>
      <w:bookmarkEnd w:id="108"/>
    </w:p>
    <w:tbl>
      <w:tblPr>
        <w:tblW w:w="13884" w:type="dxa"/>
        <w:shd w:val="clear" w:color="auto" w:fill="FFFFFF"/>
        <w:tblCellMar>
          <w:left w:w="0" w:type="dxa"/>
          <w:right w:w="0" w:type="dxa"/>
        </w:tblCellMar>
        <w:tblLook w:val="04A0" w:firstRow="1" w:lastRow="0" w:firstColumn="1" w:lastColumn="0" w:noHBand="0" w:noVBand="1"/>
      </w:tblPr>
      <w:tblGrid>
        <w:gridCol w:w="742"/>
        <w:gridCol w:w="565"/>
        <w:gridCol w:w="465"/>
        <w:gridCol w:w="465"/>
        <w:gridCol w:w="465"/>
        <w:gridCol w:w="308"/>
        <w:gridCol w:w="57"/>
        <w:gridCol w:w="365"/>
        <w:gridCol w:w="365"/>
        <w:gridCol w:w="365"/>
        <w:gridCol w:w="365"/>
        <w:gridCol w:w="465"/>
        <w:gridCol w:w="465"/>
        <w:gridCol w:w="218"/>
        <w:gridCol w:w="185"/>
        <w:gridCol w:w="185"/>
        <w:gridCol w:w="185"/>
        <w:gridCol w:w="185"/>
        <w:gridCol w:w="185"/>
        <w:gridCol w:w="185"/>
        <w:gridCol w:w="185"/>
        <w:gridCol w:w="185"/>
        <w:gridCol w:w="185"/>
        <w:gridCol w:w="185"/>
        <w:gridCol w:w="185"/>
        <w:gridCol w:w="172"/>
        <w:gridCol w:w="172"/>
        <w:gridCol w:w="172"/>
        <w:gridCol w:w="172"/>
        <w:gridCol w:w="172"/>
        <w:gridCol w:w="172"/>
        <w:gridCol w:w="172"/>
        <w:gridCol w:w="172"/>
        <w:gridCol w:w="172"/>
        <w:gridCol w:w="172"/>
        <w:gridCol w:w="172"/>
        <w:gridCol w:w="172"/>
        <w:gridCol w:w="171"/>
        <w:gridCol w:w="172"/>
        <w:gridCol w:w="172"/>
        <w:gridCol w:w="172"/>
        <w:gridCol w:w="172"/>
        <w:gridCol w:w="172"/>
        <w:gridCol w:w="172"/>
        <w:gridCol w:w="171"/>
        <w:gridCol w:w="171"/>
        <w:gridCol w:w="171"/>
        <w:gridCol w:w="171"/>
        <w:gridCol w:w="171"/>
        <w:gridCol w:w="171"/>
        <w:gridCol w:w="171"/>
        <w:gridCol w:w="171"/>
        <w:gridCol w:w="171"/>
        <w:gridCol w:w="171"/>
        <w:gridCol w:w="171"/>
        <w:gridCol w:w="171"/>
        <w:gridCol w:w="171"/>
        <w:gridCol w:w="171"/>
        <w:gridCol w:w="171"/>
        <w:gridCol w:w="171"/>
        <w:gridCol w:w="171"/>
      </w:tblGrid>
      <w:tr w:rsidR="00702E3C">
        <w:tc>
          <w:tcPr>
            <w:tcW w:w="2020" w:type="dxa"/>
            <w:gridSpan w:val="6"/>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864" w:type="dxa"/>
            <w:gridSpan w:val="5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Stopa popunjenosti u komercijalnim smještajnim kapacitetima  po mjesecu i prosjek za godinu (STP-1)</w:t>
            </w:r>
          </w:p>
        </w:tc>
      </w:tr>
      <w:tr w:rsidR="00702E3C">
        <w:tc>
          <w:tcPr>
            <w:tcW w:w="2020" w:type="dxa"/>
            <w:gridSpan w:val="6"/>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 Stopa popunjenosti u komercijalnim smještajnim kapacitetima po mjesecu i prosjek za godinu (prilagođeno)</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turistički promet</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 Odgovorna potrošnja i proizvodnja</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2. Repozicioniranje Hrvatske kao cjelogodišnje autentične destinacije održivog turizma</w:t>
            </w:r>
          </w:p>
        </w:tc>
      </w:tr>
      <w:tr w:rsidR="00702E3C">
        <w:tc>
          <w:tcPr>
            <w:tcW w:w="0" w:type="auto"/>
            <w:gridSpan w:val="6"/>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definira stopa popunjenosti (iskorištenja) komercijalnih smještajnih kapaciteta za razdoblje mjeseca i cijele godine.</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Stopa popunjenosti kapaciteta mjeri efikasnost korištenja komercijalnih smještajnih kapaciteta, na mjesečnoj i godišnjoj razini. U održivoj destinaciji cilj je imati kapacitete koji će biti iskorišteni tijekom cijele godine.</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Stopa popunjenosti u komercijalnim smještajnim kapacitetima po mjesecima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Stopa popunjenosti u komercijalnim smještajnim kapacitetima godišnji prosjek</w:t>
            </w:r>
          </w:p>
        </w:tc>
      </w:tr>
      <w:tr w:rsidR="00702E3C">
        <w:tc>
          <w:tcPr>
            <w:tcW w:w="0" w:type="auto"/>
            <w:gridSpan w:val="6"/>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stalnih kreveta u komercijalnim smještajnim kapacitetima u destinaciji na mjesečnoj bazi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ostvarenih noćenja u komercijalnim smještajnim kapacitetima u destinaciji na mjesečnoj bazi</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Stalni kreveti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Noćenja</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 potencijalni izvor</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eVisitor</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eVisitor</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Podatak je dostupan</w:t>
            </w:r>
          </w:p>
        </w:tc>
      </w:tr>
      <w:tr w:rsidR="00702E3C">
        <w:tc>
          <w:tcPr>
            <w:tcW w:w="0" w:type="auto"/>
            <w:gridSpan w:val="6"/>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1941" w:type="dxa"/>
            <w:gridSpan w:val="7"/>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mjesečno i godišnje kontinuirano dostupan</w:t>
            </w:r>
          </w:p>
        </w:tc>
      </w:tr>
      <w:tr w:rsidR="00702E3C">
        <w:tc>
          <w:tcPr>
            <w:tcW w:w="3961" w:type="dxa"/>
            <w:gridSpan w:val="13"/>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BK(i) – </w:t>
            </w:r>
            <w:r>
              <w:rPr>
                <w:rFonts w:ascii="Times New Roman" w:eastAsia="Times New Roman" w:hAnsi="Times New Roman" w:cs="Times New Roman"/>
                <w:kern w:val="0"/>
                <w:sz w:val="20"/>
                <w:szCs w:val="20"/>
                <w:lang w:eastAsia="hr-HR"/>
                <w14:ligatures w14:val="none"/>
              </w:rPr>
              <w:t>broj stalnih kreveta u komercijalnim smještajnim kapacitetima u destinaciji za i-ti mjesec u godini. Podatak se dobije iz sustava eVisitor kao broj raspoloživih kreveta u destinaciji na zadnji dan mjeseca.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BN(i) – </w:t>
            </w:r>
            <w:r>
              <w:rPr>
                <w:rFonts w:ascii="Times New Roman" w:eastAsia="Times New Roman" w:hAnsi="Times New Roman" w:cs="Times New Roman"/>
                <w:kern w:val="0"/>
                <w:sz w:val="20"/>
                <w:szCs w:val="20"/>
                <w:lang w:eastAsia="hr-HR"/>
                <w14:ligatures w14:val="none"/>
              </w:rPr>
              <w:t>broj noćenja u komercijalnim smještajnim kapacitetima u destinaciji za i-ti mjesec u godini. Podataka se dobije iz sustava eVisitor kao broj noćenja u komercijalnim smještajnim kapacitetima u destinaciji između prvog i zadnjeg dana mjeseca.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d(i) – </w:t>
            </w:r>
            <w:r>
              <w:rPr>
                <w:rFonts w:ascii="Times New Roman" w:eastAsia="Times New Roman" w:hAnsi="Times New Roman" w:cs="Times New Roman"/>
                <w:kern w:val="0"/>
                <w:sz w:val="20"/>
                <w:szCs w:val="20"/>
                <w:lang w:eastAsia="hr-HR"/>
                <w14:ligatures w14:val="none"/>
              </w:rPr>
              <w:t>broj dana u i-tom mjesecu. Umnožak je broj raspoloživih kreveta u komercijalnim smještajnim kapacitetima u cijelom mjesecu.</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MSP(i) – </w:t>
            </w:r>
            <w:r>
              <w:rPr>
                <w:rFonts w:ascii="Times New Roman" w:eastAsia="Times New Roman" w:hAnsi="Times New Roman" w:cs="Times New Roman"/>
                <w:kern w:val="0"/>
                <w:sz w:val="20"/>
                <w:szCs w:val="20"/>
                <w:lang w:eastAsia="hr-HR"/>
                <w14:ligatures w14:val="none"/>
              </w:rPr>
              <w:t>mjesečna stopa popunjenosti komercijalnih smještajnih kapaciteta za i-ti mjesec se računa kao omjer broja ostvarenih noćenja i raspoloživih mjesta u komercijalnim smještajnim kapacitetima.</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MSP</m:t>
                </m:r>
                <m:d>
                  <m:dPr>
                    <m:ctrlPr>
                      <w:rPr>
                        <w:rFonts w:ascii="Cambria Math" w:eastAsia="Times New Roman" w:hAnsi="Cambria Math" w:cs="Times New Roman"/>
                        <w:i/>
                        <w:kern w:val="0"/>
                        <w:sz w:val="20"/>
                        <w:szCs w:val="20"/>
                        <w:lang w:eastAsia="hr-HR"/>
                        <w14:ligatures w14:val="none"/>
                      </w:rPr>
                    </m:ctrlPr>
                  </m:dPr>
                  <m:e>
                    <m:r>
                      <w:rPr>
                        <w:rFonts w:ascii="Cambria Math" w:eastAsia="Times New Roman" w:hAnsi="Cambria Math" w:cs="Times New Roman"/>
                        <w:kern w:val="0"/>
                        <w:sz w:val="20"/>
                        <w:szCs w:val="20"/>
                        <w:lang w:eastAsia="hr-HR"/>
                        <w14:ligatures w14:val="none"/>
                      </w:rPr>
                      <m:t>i</m:t>
                    </m:r>
                  </m:e>
                </m:d>
                <m:r>
                  <w:rPr>
                    <w:rFonts w:ascii="Cambria Math" w:eastAsia="Times New Roman" w:hAnsi="Cambria Math" w:cs="Times New Roman"/>
                    <w:kern w:val="0"/>
                    <w:sz w:val="20"/>
                    <w:szCs w:val="20"/>
                    <w:lang w:eastAsia="hr-HR"/>
                    <w14:ligatures w14:val="none"/>
                  </w:rPr>
                  <m:t>=</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BN</m:t>
                    </m:r>
                    <m:d>
                      <m:dPr>
                        <m:ctrlPr>
                          <w:rPr>
                            <w:rFonts w:ascii="Cambria Math" w:eastAsia="Times New Roman" w:hAnsi="Cambria Math" w:cs="Times New Roman"/>
                            <w:i/>
                            <w:kern w:val="0"/>
                            <w:sz w:val="20"/>
                            <w:szCs w:val="20"/>
                            <w:lang w:eastAsia="hr-HR"/>
                            <w14:ligatures w14:val="none"/>
                          </w:rPr>
                        </m:ctrlPr>
                      </m:dPr>
                      <m:e>
                        <m:r>
                          <w:rPr>
                            <w:rFonts w:ascii="Cambria Math" w:eastAsia="Times New Roman" w:hAnsi="Cambria Math" w:cs="Times New Roman"/>
                            <w:kern w:val="0"/>
                            <w:sz w:val="20"/>
                            <w:szCs w:val="20"/>
                            <w:lang w:eastAsia="hr-HR"/>
                            <w14:ligatures w14:val="none"/>
                          </w:rPr>
                          <m:t>i</m:t>
                        </m:r>
                      </m:e>
                    </m:d>
                  </m:num>
                  <m:den>
                    <m:r>
                      <w:rPr>
                        <w:rFonts w:ascii="Cambria Math" w:eastAsia="Times New Roman" w:hAnsi="Cambria Math" w:cs="Times New Roman"/>
                        <w:kern w:val="0"/>
                        <w:sz w:val="20"/>
                        <w:szCs w:val="20"/>
                        <w:lang w:eastAsia="hr-HR"/>
                        <w14:ligatures w14:val="none"/>
                      </w:rPr>
                      <m:t>d</m:t>
                    </m:r>
                    <m:d>
                      <m:dPr>
                        <m:ctrlPr>
                          <w:rPr>
                            <w:rFonts w:ascii="Cambria Math" w:eastAsia="Times New Roman" w:hAnsi="Cambria Math" w:cs="Times New Roman"/>
                            <w:i/>
                            <w:kern w:val="0"/>
                            <w:sz w:val="20"/>
                            <w:szCs w:val="20"/>
                            <w:lang w:eastAsia="hr-HR"/>
                            <w14:ligatures w14:val="none"/>
                          </w:rPr>
                        </m:ctrlPr>
                      </m:dPr>
                      <m:e>
                        <m:r>
                          <w:rPr>
                            <w:rFonts w:ascii="Cambria Math" w:eastAsia="Times New Roman" w:hAnsi="Cambria Math" w:cs="Times New Roman"/>
                            <w:kern w:val="0"/>
                            <w:sz w:val="20"/>
                            <w:szCs w:val="20"/>
                            <w:lang w:eastAsia="hr-HR"/>
                            <w14:ligatures w14:val="none"/>
                          </w:rPr>
                          <m:t>i</m:t>
                        </m:r>
                      </m:e>
                    </m:d>
                    <m:r>
                      <w:rPr>
                        <w:rFonts w:ascii="Cambria Math" w:eastAsia="Times New Roman" w:hAnsi="Cambria Math" w:cs="Times New Roman"/>
                        <w:kern w:val="0"/>
                        <w:sz w:val="20"/>
                        <w:szCs w:val="20"/>
                        <w:lang w:eastAsia="hr-HR"/>
                        <w14:ligatures w14:val="none"/>
                      </w:rPr>
                      <m:t>×BK</m:t>
                    </m:r>
                    <m:d>
                      <m:dPr>
                        <m:ctrlPr>
                          <w:rPr>
                            <w:rFonts w:ascii="Cambria Math" w:eastAsia="Times New Roman" w:hAnsi="Cambria Math" w:cs="Times New Roman"/>
                            <w:i/>
                            <w:kern w:val="0"/>
                            <w:sz w:val="20"/>
                            <w:szCs w:val="20"/>
                            <w:lang w:eastAsia="hr-HR"/>
                            <w14:ligatures w14:val="none"/>
                          </w:rPr>
                        </m:ctrlPr>
                      </m:dPr>
                      <m:e>
                        <m:r>
                          <w:rPr>
                            <w:rFonts w:ascii="Cambria Math" w:eastAsia="Times New Roman" w:hAnsi="Cambria Math" w:cs="Times New Roman"/>
                            <w:kern w:val="0"/>
                            <w:sz w:val="20"/>
                            <w:szCs w:val="20"/>
                            <w:lang w:eastAsia="hr-HR"/>
                            <w14:ligatures w14:val="none"/>
                          </w:rPr>
                          <m:t>i</m:t>
                        </m:r>
                      </m:e>
                    </m:d>
                  </m:den>
                </m:f>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GSP – </w:t>
            </w:r>
            <w:r>
              <w:rPr>
                <w:rFonts w:ascii="Times New Roman" w:eastAsia="Times New Roman" w:hAnsi="Times New Roman" w:cs="Times New Roman"/>
                <w:kern w:val="0"/>
                <w:sz w:val="20"/>
                <w:szCs w:val="20"/>
                <w:lang w:eastAsia="hr-HR"/>
                <w14:ligatures w14:val="none"/>
              </w:rPr>
              <w:t>godišnja stopa popunjenosti komercijalnih smještajnih kapaciteta u destinaciji se računa kao omjer broja noćenja ostvarenih u komercijalnim smještajnim kapacitetima tijekom cijele godine i zbroja raspoloživih mjesta u komercijalnim smještajnim kapacitetima po mjesecima.</w:t>
            </w:r>
          </w:p>
          <w:p w:rsidR="00702E3C" w:rsidRDefault="004B1C83">
            <w:pPr>
              <w:spacing w:after="0" w:line="240" w:lineRule="auto"/>
              <w:textAlignment w:val="baseline"/>
              <w:rPr>
                <w:rFonts w:ascii="Times New Roman" w:eastAsia="Times New Roman" w:hAnsi="Times New Roman" w:cs="Times New Roman"/>
                <w:i/>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GSP = </m:t>
                </m:r>
                <m:f>
                  <m:fPr>
                    <m:ctrlPr>
                      <w:rPr>
                        <w:rFonts w:ascii="Cambria Math" w:eastAsia="Times New Roman" w:hAnsi="Cambria Math" w:cs="Times New Roman"/>
                        <w:i/>
                        <w:kern w:val="0"/>
                        <w:sz w:val="20"/>
                        <w:szCs w:val="20"/>
                        <w:lang w:eastAsia="hr-HR"/>
                        <w14:ligatures w14:val="none"/>
                      </w:rPr>
                    </m:ctrlPr>
                  </m:fPr>
                  <m:num>
                    <m:nary>
                      <m:naryPr>
                        <m:chr m:val="∑"/>
                        <m:limLoc m:val="subSup"/>
                        <m:ctrlPr>
                          <w:rPr>
                            <w:rFonts w:ascii="Cambria Math" w:eastAsia="Times New Roman" w:hAnsi="Cambria Math" w:cs="Times New Roman"/>
                            <w:i/>
                            <w:kern w:val="0"/>
                            <w:sz w:val="20"/>
                            <w:szCs w:val="20"/>
                            <w:lang w:eastAsia="hr-HR"/>
                            <w14:ligatures w14:val="none"/>
                          </w:rPr>
                        </m:ctrlPr>
                      </m:naryPr>
                      <m:sub>
                        <m:r>
                          <w:rPr>
                            <w:rFonts w:ascii="Cambria Math" w:eastAsia="Times New Roman" w:hAnsi="Cambria Math" w:cs="Times New Roman"/>
                            <w:kern w:val="0"/>
                            <w:sz w:val="20"/>
                            <w:szCs w:val="20"/>
                            <w:lang w:eastAsia="hr-HR"/>
                            <w14:ligatures w14:val="none"/>
                          </w:rPr>
                          <m:t>i=1</m:t>
                        </m:r>
                      </m:sub>
                      <m:sup>
                        <m:r>
                          <w:rPr>
                            <w:rFonts w:ascii="Cambria Math" w:eastAsia="Times New Roman" w:hAnsi="Cambria Math" w:cs="Times New Roman"/>
                            <w:kern w:val="0"/>
                            <w:sz w:val="20"/>
                            <w:szCs w:val="20"/>
                            <w:lang w:eastAsia="hr-HR"/>
                            <w14:ligatures w14:val="none"/>
                          </w:rPr>
                          <m:t>12</m:t>
                        </m:r>
                      </m:sup>
                      <m:e>
                        <m:r>
                          <w:rPr>
                            <w:rFonts w:ascii="Cambria Math" w:eastAsia="Times New Roman" w:hAnsi="Cambria Math" w:cs="Times New Roman"/>
                            <w:kern w:val="0"/>
                            <w:sz w:val="20"/>
                            <w:szCs w:val="20"/>
                            <w:lang w:eastAsia="hr-HR"/>
                            <w14:ligatures w14:val="none"/>
                          </w:rPr>
                          <m:t>BN (i)</m:t>
                        </m:r>
                      </m:e>
                    </m:nary>
                  </m:num>
                  <m:den>
                    <m:nary>
                      <m:naryPr>
                        <m:chr m:val="∑"/>
                        <m:limLoc m:val="undOvr"/>
                        <m:ctrlPr>
                          <w:rPr>
                            <w:rFonts w:ascii="Cambria Math" w:eastAsia="Times New Roman" w:hAnsi="Cambria Math" w:cs="Times New Roman"/>
                            <w:i/>
                            <w:kern w:val="0"/>
                            <w:sz w:val="20"/>
                            <w:szCs w:val="20"/>
                            <w:lang w:eastAsia="hr-HR"/>
                            <w14:ligatures w14:val="none"/>
                          </w:rPr>
                        </m:ctrlPr>
                      </m:naryPr>
                      <m:sub>
                        <m:r>
                          <w:rPr>
                            <w:rFonts w:ascii="Cambria Math" w:eastAsia="Times New Roman" w:hAnsi="Cambria Math" w:cs="Times New Roman"/>
                            <w:kern w:val="0"/>
                            <w:sz w:val="20"/>
                            <w:szCs w:val="20"/>
                            <w:lang w:eastAsia="hr-HR"/>
                            <w14:ligatures w14:val="none"/>
                          </w:rPr>
                          <m:t>i=1</m:t>
                        </m:r>
                      </m:sub>
                      <m:sup>
                        <m:r>
                          <w:rPr>
                            <w:rFonts w:ascii="Cambria Math" w:eastAsia="Times New Roman" w:hAnsi="Cambria Math" w:cs="Times New Roman"/>
                            <w:kern w:val="0"/>
                            <w:sz w:val="20"/>
                            <w:szCs w:val="20"/>
                            <w:lang w:eastAsia="hr-HR"/>
                            <w14:ligatures w14:val="none"/>
                          </w:rPr>
                          <m:t>12</m:t>
                        </m:r>
                      </m:sup>
                      <m:e>
                        <m:r>
                          <w:rPr>
                            <w:rFonts w:ascii="Cambria Math" w:eastAsia="Times New Roman" w:hAnsi="Cambria Math" w:cs="Times New Roman"/>
                            <w:kern w:val="0"/>
                            <w:sz w:val="20"/>
                            <w:szCs w:val="20"/>
                            <w:lang w:eastAsia="hr-HR"/>
                            <w14:ligatures w14:val="none"/>
                          </w:rPr>
                          <m:t>d(i) × BK(i)</m:t>
                        </m:r>
                      </m:e>
                    </m:nary>
                  </m:den>
                </m:f>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3961" w:type="dxa"/>
            <w:gridSpan w:val="13"/>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Godišnje i mjesečno</w:t>
            </w:r>
          </w:p>
        </w:tc>
      </w:tr>
      <w:tr w:rsidR="00702E3C">
        <w:tc>
          <w:tcPr>
            <w:tcW w:w="3961" w:type="dxa"/>
            <w:gridSpan w:val="13"/>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9923" w:type="dxa"/>
            <w:gridSpan w:val="4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Metodologija ETIS sustava predviđa korištenje stope popunjenosti smještajne jedinice (sobe), ali podatak o zauzetosti sobe nije dostupan kroz sustav eVisitor pa se izračunava stopa popunjenosti stalnih kreveta.</w:t>
            </w:r>
          </w:p>
        </w:tc>
      </w:tr>
      <w:tr w:rsidR="00702E3C">
        <w:tc>
          <w:tcPr>
            <w:tcW w:w="3961" w:type="dxa"/>
            <w:gridSpan w:val="13"/>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Početna vrijednost 2025.</w:t>
            </w:r>
          </w:p>
        </w:tc>
        <w:tc>
          <w:tcPr>
            <w:tcW w:w="2616" w:type="dxa"/>
            <w:gridSpan w:val="12"/>
            <w:tcBorders>
              <w:top w:val="single" w:sz="6" w:space="0" w:color="auto"/>
              <w:left w:val="single" w:sz="6" w:space="0" w:color="auto"/>
              <w:bottom w:val="single" w:sz="6" w:space="0" w:color="auto"/>
              <w:right w:val="single" w:sz="6" w:space="0" w:color="auto"/>
            </w:tcBorders>
            <w:shd w:val="clear" w:color="auto" w:fill="FAF0D2" w:themeFill="accent3"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436" w:type="dxa"/>
            <w:gridSpan w:val="12"/>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435" w:type="dxa"/>
            <w:gridSpan w:val="12"/>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436" w:type="dxa"/>
            <w:gridSpan w:val="12"/>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0,0017</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0,0057</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0,011</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0,027</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0,107</w:t>
            </w:r>
          </w:p>
        </w:tc>
        <w:tc>
          <w:tcPr>
            <w:tcW w:w="346" w:type="dxa"/>
            <w:gridSpan w:val="2"/>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0,39</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0,99</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1,08</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0,35</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0,04</w:t>
            </w:r>
          </w:p>
        </w:tc>
        <w:tc>
          <w:tcPr>
            <w:tcW w:w="34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0,008</w:t>
            </w:r>
          </w:p>
        </w:tc>
        <w:tc>
          <w:tcPr>
            <w:tcW w:w="165"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0,006</w:t>
            </w: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18"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2"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AF0D2" w:themeFill="accent3"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3" w:type="dxa"/>
            <w:tcBorders>
              <w:top w:val="single" w:sz="6" w:space="0" w:color="auto"/>
              <w:left w:val="single" w:sz="6" w:space="0" w:color="auto"/>
              <w:bottom w:val="single" w:sz="6" w:space="0" w:color="auto"/>
              <w:right w:val="single" w:sz="6" w:space="0" w:color="auto"/>
            </w:tcBorders>
            <w:shd w:val="clear" w:color="auto" w:fill="F5E2A5" w:themeFill="accent3"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3884" w:type="dxa"/>
        <w:shd w:val="clear" w:color="auto" w:fill="FFFFFF"/>
        <w:tblCellMar>
          <w:left w:w="0" w:type="dxa"/>
          <w:right w:w="0" w:type="dxa"/>
        </w:tblCellMar>
        <w:tblLook w:val="04A0" w:firstRow="1" w:lastRow="0" w:firstColumn="1" w:lastColumn="0" w:noHBand="0" w:noVBand="1"/>
      </w:tblPr>
      <w:tblGrid>
        <w:gridCol w:w="2004"/>
        <w:gridCol w:w="4096"/>
        <w:gridCol w:w="7784"/>
      </w:tblGrid>
      <w:tr w:rsidR="00702E3C">
        <w:tc>
          <w:tcPr>
            <w:tcW w:w="1970"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1914"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Prosječna dnevna potrošnja turista u eurima (STP-2)</w:t>
            </w:r>
          </w:p>
        </w:tc>
      </w:tr>
      <w:tr w:rsidR="00702E3C">
        <w:tc>
          <w:tcPr>
            <w:tcW w:w="1970"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99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/ETIS – prosječna potrošnja posjetitelja (average </w:t>
            </w:r>
            <w:r>
              <w:rPr>
                <w:rFonts w:ascii="Times New Roman" w:eastAsia="Times New Roman" w:hAnsi="Times New Roman" w:cs="Times New Roman"/>
                <w:i/>
                <w:iCs/>
                <w:kern w:val="0"/>
                <w:sz w:val="20"/>
                <w:szCs w:val="20"/>
                <w:lang w:eastAsia="hr-HR"/>
                <w14:ligatures w14:val="none"/>
              </w:rPr>
              <w:t>visitor expenditure)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turistički promet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SDG-ovima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 Odgovorna potrošnja i proizvodnja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Strategijom i Nacionalnim planom</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2. Repozicioniranje Hrvatske kao cjelogodišnje autentične destinacije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Procjena prosječne dnevne potrošnje turista u komercijalnim smještajnim objektima. Uključuje izdatke turista na turističke usluge i proizvode kao što su smještaj, prijevoz, hrana i piće, zabava, sport, kultura, izleti, najam opreme, kupnja, suveniri itd., po osobi i noćenju.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Uz volumen turističke potražnje (broj noćenja), prosječna dnevna potrošnja turista jedan je od najvažnijih pokazatelja ekonomske održivosti turističke aktivnosti u destinaciji. Prosječna dnevna potrošnja turista je i temelj za praćenje ukupnih prihoda od turizma i izravnog gospodarskog utjecaja turizma na odredište. Također, ukazuje na veze unutar lanca vrijednosti u destinacijskoj ponudi.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Prosječna dnevna potrošnja u eurima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EUR</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Anketa o zadovoljstvu i potrošnji turista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nije dostupan, nužno je prikupljanje podataka primarnim istraživanjem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Metodološke smjernice za istraživanje zadovoljstva turista i jednodnevnih posjetitelja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5968"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Preuzimanje podataka iz ankete.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Ne postoji dodatni izračun.</w:t>
            </w:r>
          </w:p>
        </w:tc>
      </w:tr>
      <w:tr w:rsidR="00702E3C">
        <w:tc>
          <w:tcPr>
            <w:tcW w:w="5968"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4 godine</w:t>
            </w:r>
          </w:p>
        </w:tc>
      </w:tr>
      <w:tr w:rsidR="00702E3C">
        <w:tc>
          <w:tcPr>
            <w:tcW w:w="5968"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Nužna je provedba primarnog istraživanja – poskupljuje i produžuje proces.</w:t>
            </w:r>
          </w:p>
        </w:tc>
      </w:tr>
      <w:tr w:rsidR="00702E3C">
        <w:tc>
          <w:tcPr>
            <w:tcW w:w="596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96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0A25C5" w:rsidP="000A25C5">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135,59€</w:t>
            </w:r>
          </w:p>
        </w:tc>
        <w:tc>
          <w:tcPr>
            <w:tcW w:w="791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48" w:line="240" w:lineRule="auto"/>
        <w:ind w:firstLine="408"/>
        <w:textAlignment w:val="baseline"/>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109" w:name="_Toc217040737"/>
      <w:r>
        <w:rPr>
          <w:rFonts w:ascii="Times New Roman" w:eastAsia="Times New Roman" w:hAnsi="Times New Roman" w:cs="Times New Roman"/>
          <w:lang w:eastAsia="hr-HR"/>
        </w:rPr>
        <w:lastRenderedPageBreak/>
        <w:t>Poslovanje gospodarskih subjekata u turizmu</w:t>
      </w:r>
      <w:bookmarkEnd w:id="109"/>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2003"/>
        <w:gridCol w:w="4093"/>
        <w:gridCol w:w="1985"/>
        <w:gridCol w:w="1982"/>
        <w:gridCol w:w="1981"/>
        <w:gridCol w:w="1982"/>
      </w:tblGrid>
      <w:tr w:rsidR="00702E3C">
        <w:tc>
          <w:tcPr>
            <w:tcW w:w="1969"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57"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Produktivnost rada u području i Djelatnost pružanja smještaja te pripreme i usluživanja (SPGS-1)</w:t>
            </w:r>
          </w:p>
        </w:tc>
      </w:tr>
      <w:tr w:rsidR="00702E3C">
        <w:tc>
          <w:tcPr>
            <w:tcW w:w="1969"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99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(prilagodba) – poslovanje gospodarskih objekata i gospodarska struktura djelatnosti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5. Jačanje ljudskih potencijala u turizmu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produktivnost rada u području I Djelatnost pružanja smještaja te pripreme i usluživanja hrane kao najvažnijoj turističkoj djelatnosti (prema kriteriju udjela u ostvarenoj dodanoj vrijednosti turizma) prema ukupnom prihodu po zaposlenom temeljem podataka iz Registra godišnjih financijskih izvještaja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analizu gospodarske aktivnosti s obzirom na produktivnost zaposlenih.</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produktivnosti rada definira se kao razlomak u kojem je brojnik ukupan prihoda gospodarskih subjekata na području JLS, a nazivnik broja zaposlenih u djelatnosti izračunat na bazi sati rada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Izračun produktivnosti po zaposlenom na bazi ostvarene bruto dobiti/gubitka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Ukupan prihod poslovnih subjekata u djelatnosti na području JLS tijekom referentne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zaposlenih na bazi sati u poduzećima u djelatnosti na području JLS tijekom referentne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Realan broj</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FINA – podatak iz Registra godišnjih financijskih izvještaja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dostupan na zahtjev od FINA, podrazumijeva posebnu obradu kako bi se dobili podaci na razini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kontinuirano dostupan na godišnjoj razini</w:t>
            </w:r>
          </w:p>
        </w:tc>
      </w:tr>
      <w:tr w:rsidR="00702E3C">
        <w:tc>
          <w:tcPr>
            <w:tcW w:w="5964"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se preuzimaju iz službenih administrativnih izvora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UP – </w:t>
            </w:r>
            <w:r>
              <w:rPr>
                <w:rFonts w:ascii="Times New Roman" w:eastAsia="Times New Roman" w:hAnsi="Times New Roman" w:cs="Times New Roman"/>
                <w:kern w:val="0"/>
                <w:sz w:val="20"/>
                <w:szCs w:val="20"/>
                <w:lang w:eastAsia="hr-HR"/>
                <w14:ligatures w14:val="none"/>
              </w:rPr>
              <w:t>ukupan prihod poslovnih subjekata u djelatnostima iz područja I na teritoriju destinacije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 – </w:t>
            </w:r>
            <w:r>
              <w:rPr>
                <w:rFonts w:ascii="Times New Roman" w:eastAsia="Times New Roman" w:hAnsi="Times New Roman" w:cs="Times New Roman"/>
                <w:kern w:val="0"/>
                <w:sz w:val="20"/>
                <w:szCs w:val="20"/>
                <w:lang w:eastAsia="hr-HR"/>
                <w14:ligatures w14:val="none"/>
              </w:rPr>
              <w:t>broj zaposlenih na bazi sati rada u poduzećima u djelatnostima iz područja I na teritoriju destinacije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Produktivnost rada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UP</m:t>
                    </m:r>
                  </m:num>
                  <m:den>
                    <m:r>
                      <w:rPr>
                        <w:rFonts w:ascii="Cambria Math" w:eastAsia="Times New Roman" w:hAnsi="Cambria Math" w:cs="Times New Roman"/>
                        <w:kern w:val="0"/>
                        <w:sz w:val="20"/>
                        <w:szCs w:val="20"/>
                        <w:lang w:eastAsia="hr-HR"/>
                        <w14:ligatures w14:val="none"/>
                      </w:rPr>
                      <m:t>ZP</m:t>
                    </m:r>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5964" w:type="dxa"/>
            <w:gridSpan w:val="2"/>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5964"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osigurava podatke za pravne osobe u djelatnosti, a ograničenje je vezano uz činjenicu da izvor ne pruža uvid u bruto dodanu vrijednost koji ostvaruju obrti koji nisu obveznici poreza na dobit.</w:t>
            </w:r>
          </w:p>
        </w:tc>
      </w:tr>
      <w:tr w:rsidR="00702E3C">
        <w:tc>
          <w:tcPr>
            <w:tcW w:w="596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1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1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1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96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73.576,59</w:t>
            </w:r>
          </w:p>
        </w:tc>
        <w:tc>
          <w:tcPr>
            <w:tcW w:w="8062"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2017"/>
        <w:gridCol w:w="4137"/>
        <w:gridCol w:w="1968"/>
        <w:gridCol w:w="1968"/>
        <w:gridCol w:w="1968"/>
        <w:gridCol w:w="1968"/>
      </w:tblGrid>
      <w:tr w:rsidR="00702E3C">
        <w:tc>
          <w:tcPr>
            <w:tcW w:w="201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11"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Bruto dodana vrijednost ostvarena u području i djelatnost pružanja smještaja te pripreme i usluživanja (SPGS-2)</w:t>
            </w:r>
          </w:p>
        </w:tc>
      </w:tr>
      <w:tr w:rsidR="00702E3C">
        <w:tc>
          <w:tcPr>
            <w:tcW w:w="201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2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(prilagodba) – poslovanje gospodarskih objekata i gospodarska struktura djelatnosti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7. Osiguranje poticajnog poslovnog okruženja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Bruto dodana vrijednost u području I Djelatnost pružanja smještaja te pripreme i usluživanja kao najvažnijoj turističkoj djelatnosti (prema kriteriju udjela u ostvarenoj dodanoj vrijednosti turizma) definira se za tekuću godinu kao vrijednost outputa u obveznim cijenama umanjena za intermedijarnu potrošnju vrednovanu po kupovnim cijenama ostvarena, a izračunava se prije potrošnje fiksnog kapitala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praćenje generiranja novostvorene vrijednosti na razini JLS koju ostvaruju gospodarski subjekti – pravne osobe u Području I Djelatnost pružanja smještaja te pripreme i usluživanja.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Utvrđuje se za gospodarske subjekte – poduzetnike koji ispunjavaju godišnji financijski izvještaj.</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 temelju podataka iz godišnjeg financijskog izvještaja gospodarskih subjekata – pravnih osoba u području I Djelatnost pružanja smještaja te pripreme i usluživanja, bruto dodana vrijednost izračunava se kao razlika outputa i intermedijarne potrošnje: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Output se definira kao suma prihoda od prodaje, subvencija na proizvode, prihodi od poslovnog najma nekretnina, opreme i sl., kapitalizirane proizvodnje za vlastite potrebe, promjene vrijednosti zaliha proizvodnje u tijeku te minus troškovi prodane robe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Intermedijarna potrošnja definira se kao suma troškova sirovine i materijala, ostalih vanjskih i ostalih troškova umanjenih za sumu troškova investicijskog održavanja, poreza koji ne ovise od dobitku i pristojbi, naknada članovima uprave, naknada troškova, darova i potpora zaposlenicima te darova u naravi, troškova od najma zemljišta i plaćenih tantijema za iskorištavanje prirodnih dobara, troškova usluga dugoročnog i operativnog lizinga materijalne imovine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bruto dodane vrijednosti područja I Djelatnost pružanja smještaja te pripreme i usluživanja ostvarene na području JLS u bruto dodane vrijednosti Područja I Djelatnost pružanja smještaja te pripreme i usluživanja ostvarenoj na području Županije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Bruto dodana vrijednost poslovnih subjekata u djelatnosti na području JLS tijekom referentne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EUR</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FINA – podaci iz Registra godišnjih financijskih izvještaja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dostupan na zahtjev od FINA, podrazumijeva posebnu obradu kako bi se dobili podaci na razini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kontinuirano dostupan na razini godine</w:t>
            </w:r>
          </w:p>
        </w:tc>
      </w:tr>
      <w:tr w:rsidR="00702E3C">
        <w:tc>
          <w:tcPr>
            <w:tcW w:w="6142"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se preuzimaju iz službenih administrativnih izvora</w:t>
            </w:r>
          </w:p>
        </w:tc>
      </w:tr>
      <w:tr w:rsidR="00702E3C">
        <w:tc>
          <w:tcPr>
            <w:tcW w:w="6142"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42"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7884"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osigurava podatke za pravne osobe u djelatnosti, a ograničenje je vezano uz činjenicu da izvor ne pruža uvid u bruto dodanu vrijednost koji ostvaruju obrti koji nisu obveznici poreza na dobit. Izračun pokazatelja, polazeći od definiranog metodološkog okvira, potrebno je usklađivati s promjenom sadržaja obrasca godišnjeg financijskog izvještaja za poduzetnike (FINA).</w:t>
            </w:r>
          </w:p>
        </w:tc>
      </w:tr>
      <w:tr w:rsidR="00702E3C">
        <w:tc>
          <w:tcPr>
            <w:tcW w:w="614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197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19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19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4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197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7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998"/>
        <w:gridCol w:w="4078"/>
        <w:gridCol w:w="1998"/>
        <w:gridCol w:w="1988"/>
        <w:gridCol w:w="1983"/>
        <w:gridCol w:w="1981"/>
      </w:tblGrid>
      <w:tr w:rsidR="00702E3C">
        <w:tc>
          <w:tcPr>
            <w:tcW w:w="1972"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54"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malih i srednjih poduzeća u ukupnom broju poduzeća u području I Djelatnost pružanja smještaja te pripreme i usluživanja hrane (SPGS-3)</w:t>
            </w:r>
          </w:p>
        </w:tc>
      </w:tr>
      <w:tr w:rsidR="00702E3C">
        <w:tc>
          <w:tcPr>
            <w:tcW w:w="1972"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0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(prilagodba) – poslovanje gospodarskih objekata i gospodarska struktura djelatnosti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6. Unaprjeđenje strukture i kvalitete smještajnih kapaciteta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gospodarska struktura u Djelatnosti pružanja smještaja te pripreme i usluživanja hrane kao najvažnijoj turističkoj djelatnosti (prema kriteriju udjela u ostvarenoj dodanoj vrijednosti turizma)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praćenje gospodarske strukture djelatnosti s obzirom na veličinu poduzeća te povećanje ili smanjenje broja malih i srednjih poduzeća/gospodarskih subjekata koji uobičajeno čine temelj turističke aktivnosti, a definira se kao razlomak u kojem je brojnik broj malih i/ili srednjih poduzeća, a nazivnik ukupan broj poduzeća pomnožen sa 100.</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Broj malih i/ili srednjih poduzeća definira se prema dva kriterija: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Broju zaposlenih:</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Mala poduzeća: do 50 zaposlenih na dan 31. prosinca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Srednja poduzeća: do 250 zaposlenih na dan 31. prosinca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Ostvarenom godišnjim prihodom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Mala poduzeća: do 10 milijuna eura tijekom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Srednja poduzeća: do 50 milijuna eura tijekom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Preporučuje se izračun udjela i malih i srednjih poduzeća po oba kriterija (broju zaposlenih, ostvareni godišnjim prihodom)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Otvaranje i zatvaranje gospodarskih subjekata u Djelatnosti pružanja smještaja te pripreme i usluživanja hrane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poduzeća sa sjedištem na teritoriju JLS u području I Djelatnosti pružanja smještaja te pripreme i usluživanja hrane, stanje na kraju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poduzeća sa sjedištem na teritoriju JLS u području I Djelatnosti pružanja smještaja te pripreme i usluživanja hrane koja zapošljavaju manje od 50 djelatnika, stanje na kraju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Broj poduzeća sa sjedištem na teritoriju JLS u području I Djelatnosti pružanja smještaja te pripreme i usluživanja hrane koja zapošljavaju manje od 250 djelatnika, stanje na kraju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4. Broj poduzeća sa sjedištem na teritoriju JLS u području I Djelatnosti pružanja smještaja te pripreme i usluživanja hrane koja ostvaruju godišnji prihod manji od 10 milijuna eura, stanje na kraju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5. Broj poduzeća sa sjedištem na teritoriju JLS u području I Djelatnosti pružanja smještaja te pripreme i usluživanja hrane koja ostvaruju godišnji prihod manji od 50 milijuna eura, stanje na kraju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FINA – podatak iz Registra godišnjih financijskih izvještaja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dostupan na zahtjev od FINA, podrazumijeva posebnu obradu kako bi se dobili podaci na razini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kontinuirano dostupan na godišnjoj razini</w:t>
            </w:r>
          </w:p>
        </w:tc>
      </w:tr>
      <w:tr w:rsidR="00702E3C">
        <w:tc>
          <w:tcPr>
            <w:tcW w:w="5976"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Sve spomenute veličine se preuzimaju iz službenih administrativnih izvora. Podrazumijeva sa da se odnose na poduzeća u djelatnostima iz područja I Djelatnosti pružanja smještaja te pripreme i usluživanja hrane sa sjedištem na teritoriju destinacije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UP – </w:t>
            </w:r>
            <w:r>
              <w:rPr>
                <w:rFonts w:ascii="Times New Roman" w:eastAsia="Times New Roman" w:hAnsi="Times New Roman" w:cs="Times New Roman"/>
                <w:kern w:val="0"/>
                <w:sz w:val="20"/>
                <w:szCs w:val="20"/>
                <w:lang w:eastAsia="hr-HR"/>
                <w14:ligatures w14:val="none"/>
              </w:rPr>
              <w:t>ukupan broj poduzeća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50</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poduzeća koji zapošljavaju manje od 50 djelatnika, stanje na kraju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250</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poduzeća koji zapošljavaju manje od 250 djelatnika, stanje na kraju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w:t>
            </w:r>
            <w:r>
              <w:rPr>
                <w:rFonts w:ascii="Times New Roman" w:eastAsia="Times New Roman" w:hAnsi="Times New Roman" w:cs="Times New Roman"/>
                <w:i/>
                <w:iCs/>
                <w:kern w:val="0"/>
                <w:sz w:val="20"/>
                <w:szCs w:val="20"/>
                <w:vertAlign w:val="subscript"/>
                <w:lang w:eastAsia="hr-HR"/>
                <w14:ligatures w14:val="none"/>
              </w:rPr>
              <w:t>10</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poduzeća koja ostvaruju godišnji prihod manji od 10 milijuna eura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P</w:t>
            </w:r>
            <w:r>
              <w:rPr>
                <w:rFonts w:ascii="Times New Roman" w:eastAsia="Times New Roman" w:hAnsi="Times New Roman" w:cs="Times New Roman"/>
                <w:i/>
                <w:iCs/>
                <w:kern w:val="0"/>
                <w:sz w:val="20"/>
                <w:szCs w:val="20"/>
                <w:vertAlign w:val="subscript"/>
                <w:lang w:eastAsia="hr-HR"/>
                <w14:ligatures w14:val="none"/>
              </w:rPr>
              <w:t>50</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poduzeća koja ostvaruju godišnji prihod manji od 50 milijuna eura</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i/>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malih poduzeća u Području I (zaposleni)=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50</m:t>
                        </m:r>
                      </m:sub>
                    </m:sSub>
                  </m:num>
                  <m:den>
                    <m:r>
                      <w:rPr>
                        <w:rFonts w:ascii="Cambria Math" w:eastAsia="Times New Roman" w:hAnsi="Cambria Math" w:cs="Times New Roman"/>
                        <w:kern w:val="0"/>
                        <w:sz w:val="20"/>
                        <w:szCs w:val="20"/>
                        <w:lang w:eastAsia="hr-HR"/>
                        <w14:ligatures w14:val="none"/>
                      </w:rPr>
                      <m:t>UP</m:t>
                    </m:r>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i/>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srednjih poduzeća u Području I (zaposleni)=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m:t>
                    </m:r>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250</m:t>
                        </m:r>
                      </m:sub>
                    </m:sSub>
                    <m:r>
                      <w:rPr>
                        <w:rFonts w:ascii="Cambria Math" w:eastAsia="Times New Roman" w:hAnsi="Cambria Math" w:cs="Times New Roman"/>
                        <w:kern w:val="0"/>
                        <w:sz w:val="20"/>
                        <w:szCs w:val="20"/>
                        <w:lang w:eastAsia="hr-HR"/>
                        <w14:ligatures w14:val="none"/>
                      </w:rPr>
                      <m:t xml:space="preserve"> - </m:t>
                    </m:r>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 xml:space="preserve">50 </m:t>
                        </m:r>
                      </m:sub>
                    </m:sSub>
                    <m:r>
                      <w:rPr>
                        <w:rFonts w:ascii="Cambria Math" w:eastAsia="Times New Roman" w:hAnsi="Cambria Math" w:cs="Times New Roman"/>
                        <w:kern w:val="0"/>
                        <w:sz w:val="20"/>
                        <w:szCs w:val="20"/>
                        <w:lang w:eastAsia="hr-HR"/>
                        <w14:ligatures w14:val="none"/>
                      </w:rPr>
                      <m:t>)</m:t>
                    </m:r>
                  </m:num>
                  <m:den>
                    <m:r>
                      <w:rPr>
                        <w:rFonts w:ascii="Cambria Math" w:eastAsia="Times New Roman" w:hAnsi="Cambria Math" w:cs="Times New Roman"/>
                        <w:kern w:val="0"/>
                        <w:sz w:val="20"/>
                        <w:szCs w:val="20"/>
                        <w:lang w:eastAsia="hr-HR"/>
                        <w14:ligatures w14:val="none"/>
                      </w:rPr>
                      <m:t>UP</m:t>
                    </m:r>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malih poduzeća u Području I (prihodi)=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P</m:t>
                        </m:r>
                      </m:e>
                      <m:sub>
                        <m:r>
                          <w:rPr>
                            <w:rFonts w:ascii="Cambria Math" w:eastAsia="Times New Roman" w:hAnsi="Cambria Math" w:cs="Times New Roman"/>
                            <w:kern w:val="0"/>
                            <w:sz w:val="20"/>
                            <w:szCs w:val="20"/>
                            <w:lang w:eastAsia="hr-HR"/>
                            <w14:ligatures w14:val="none"/>
                          </w:rPr>
                          <m:t>10</m:t>
                        </m:r>
                      </m:sub>
                    </m:sSub>
                  </m:num>
                  <m:den>
                    <m:r>
                      <w:rPr>
                        <w:rFonts w:ascii="Cambria Math" w:eastAsia="Times New Roman" w:hAnsi="Cambria Math" w:cs="Times New Roman"/>
                        <w:kern w:val="0"/>
                        <w:sz w:val="20"/>
                        <w:szCs w:val="20"/>
                        <w:lang w:eastAsia="hr-HR"/>
                        <w14:ligatures w14:val="none"/>
                      </w:rPr>
                      <m:t>UP</m:t>
                    </m:r>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srednjih poduzeća u Području I (zaposleni)=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m:t>
                    </m:r>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P</m:t>
                        </m:r>
                      </m:e>
                      <m:sub>
                        <m:r>
                          <w:rPr>
                            <w:rFonts w:ascii="Cambria Math" w:eastAsia="Times New Roman" w:hAnsi="Cambria Math" w:cs="Times New Roman"/>
                            <w:kern w:val="0"/>
                            <w:sz w:val="20"/>
                            <w:szCs w:val="20"/>
                            <w:lang w:eastAsia="hr-HR"/>
                            <w14:ligatures w14:val="none"/>
                          </w:rPr>
                          <m:t>50</m:t>
                        </m:r>
                      </m:sub>
                    </m:sSub>
                    <m:r>
                      <w:rPr>
                        <w:rFonts w:ascii="Cambria Math" w:eastAsia="Times New Roman" w:hAnsi="Cambria Math" w:cs="Times New Roman"/>
                        <w:kern w:val="0"/>
                        <w:sz w:val="20"/>
                        <w:szCs w:val="20"/>
                        <w:lang w:eastAsia="hr-HR"/>
                        <w14:ligatures w14:val="none"/>
                      </w:rPr>
                      <m:t xml:space="preserve"> - </m:t>
                    </m:r>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P</m:t>
                        </m:r>
                      </m:e>
                      <m:sub>
                        <m:r>
                          <w:rPr>
                            <w:rFonts w:ascii="Cambria Math" w:eastAsia="Times New Roman" w:hAnsi="Cambria Math" w:cs="Times New Roman"/>
                            <w:kern w:val="0"/>
                            <w:sz w:val="20"/>
                            <w:szCs w:val="20"/>
                            <w:lang w:eastAsia="hr-HR"/>
                            <w14:ligatures w14:val="none"/>
                          </w:rPr>
                          <m:t xml:space="preserve">10 </m:t>
                        </m:r>
                      </m:sub>
                    </m:sSub>
                    <m:r>
                      <w:rPr>
                        <w:rFonts w:ascii="Cambria Math" w:eastAsia="Times New Roman" w:hAnsi="Cambria Math" w:cs="Times New Roman"/>
                        <w:kern w:val="0"/>
                        <w:sz w:val="20"/>
                        <w:szCs w:val="20"/>
                        <w:lang w:eastAsia="hr-HR"/>
                        <w14:ligatures w14:val="none"/>
                      </w:rPr>
                      <m:t>)</m:t>
                    </m:r>
                  </m:num>
                  <m:den>
                    <m:r>
                      <w:rPr>
                        <w:rFonts w:ascii="Cambria Math" w:eastAsia="Times New Roman" w:hAnsi="Cambria Math" w:cs="Times New Roman"/>
                        <w:kern w:val="0"/>
                        <w:sz w:val="20"/>
                        <w:szCs w:val="20"/>
                        <w:lang w:eastAsia="hr-HR"/>
                        <w14:ligatures w14:val="none"/>
                      </w:rPr>
                      <m:t>UP</m:t>
                    </m:r>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tc>
      </w:tr>
      <w:tr w:rsidR="00702E3C">
        <w:tc>
          <w:tcPr>
            <w:tcW w:w="5976"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Učestalost mjerenja</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5976"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osigurava podatke sa stanjem na kraju godine, a ograničenje je vezano uz činjenicu da izvor ne pruža uvid u broj i veličinu obrta koji nisu obveznici poreza na dobit.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Temeljno je ograničenje što je nemoguće izdvojiti objekte koji nisu na području destinacije, no njihovo sjedište jest, te se time vode kao poslovni subjekti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Opcionalno moguće je i provesti anketu gospodarskih subjekata.</w:t>
            </w:r>
          </w:p>
        </w:tc>
      </w:tr>
      <w:tr w:rsidR="00702E3C">
        <w:tc>
          <w:tcPr>
            <w:tcW w:w="5976"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1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1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976"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83%</w:t>
            </w:r>
          </w:p>
        </w:tc>
        <w:tc>
          <w:tcPr>
            <w:tcW w:w="805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2019"/>
        <w:gridCol w:w="2652"/>
        <w:gridCol w:w="3589"/>
        <w:gridCol w:w="1952"/>
        <w:gridCol w:w="1973"/>
        <w:gridCol w:w="1841"/>
      </w:tblGrid>
      <w:tr w:rsidR="00702E3C">
        <w:tc>
          <w:tcPr>
            <w:tcW w:w="2018"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08"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Udio poslovnih subjekata u području I Djelatnost pružanja smještaja te pripreme i usluživanja hrane koja su u pretežitom domaćem vlasništvu (SPGS-4)</w:t>
            </w:r>
          </w:p>
        </w:tc>
      </w:tr>
      <w:tr w:rsidR="00702E3C">
        <w:tc>
          <w:tcPr>
            <w:tcW w:w="2018"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(prilagodba) – poslovanje gospodarskih objekata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SDG-ovima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6. Unaprjeđenje strukture i kvalitete smještajnih kapaciteta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vlasnička struktura gospodarskih subjekata u Djelatnosti pružanja smještaja te pripreme i usluživanja hrane kao najvažnijoj turističkoj djelatnosti (prema kriteriju udjela u ostvarenoj dodanoj vrijednosti turizma) na području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praćenje gospodarske strukture djelatnosti s obzirom na vlasničku strukturu, definira se kao razlomak u kojem je brojnik broja poslovnih subjekata koji su u većinskom vlasništvu domaćih osoba, a nazivnik ukupan broj poslovnih subjekata u djelatnosti sa sjedištem na području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(opcinalno)</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Udio malih poslovnih subjekata te udio srednjih poslovnih subjekata u Području I Djelatnost pružanja smještaja te pripreme i usluživanja hrane koja su u pretežitom domaćem vlasništvu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poslovnih subjekata sa sjedištem na području destinacije u području I Djelatnosti pružanja smještaja te pripreme i usluživanja hrane, stanje na kraju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poslovnih subjekata sa sjedištem na teritoriju destinacije u području I Djelatnosti pružanja smještaja te pripreme i usluživanja hrane koja su u pretežitom domaćem vlasništvu (udio domaćeg vlasništva 50% i više)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FINA – podatak iz Registra godišnjih financijskih izvještaja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 na zahtjev od FINA, podrazumijeva posebnu obradu kako bi se dobili podaci na razini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26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kontinuirano dostupan</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Sve spomenute veličine se preuzimaju iz službenih administrativnih izvora. Podrazumijeva se da se odnose na poslovne subjekte u djelatnostima iz područja I Djelatnosti pružanja smještaja te pripreme i usluživanja hrane sa sjedištem na teritoriju jedinice lokalne samouprave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UP – </w:t>
            </w:r>
            <w:r>
              <w:rPr>
                <w:rFonts w:ascii="Times New Roman" w:eastAsia="Times New Roman" w:hAnsi="Times New Roman" w:cs="Times New Roman"/>
                <w:kern w:val="0"/>
                <w:sz w:val="20"/>
                <w:szCs w:val="20"/>
                <w:lang w:eastAsia="hr-HR"/>
                <w14:ligatures w14:val="none"/>
              </w:rPr>
              <w:t>ukupan broj poslovnih subjekata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DV – </w:t>
            </w:r>
            <w:r>
              <w:rPr>
                <w:rFonts w:ascii="Times New Roman" w:eastAsia="Times New Roman" w:hAnsi="Times New Roman" w:cs="Times New Roman"/>
                <w:kern w:val="0"/>
                <w:sz w:val="20"/>
                <w:szCs w:val="20"/>
                <w:lang w:eastAsia="hr-HR"/>
                <w14:ligatures w14:val="none"/>
              </w:rPr>
              <w:t>broj poslovnih subjekata koja su u pretežitom domaćem vlasništvu (udio domaćeg vlasništva 50% i više)</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poduzeća koja su u pretežitom domaćem vlasništvu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DV</m:t>
                    </m:r>
                  </m:num>
                  <m:den>
                    <m:r>
                      <w:rPr>
                        <w:rFonts w:ascii="Cambria Math" w:eastAsia="Times New Roman" w:hAnsi="Cambria Math" w:cs="Times New Roman"/>
                        <w:kern w:val="0"/>
                        <w:sz w:val="20"/>
                        <w:szCs w:val="20"/>
                        <w:lang w:eastAsia="hr-HR"/>
                        <w14:ligatures w14:val="none"/>
                      </w:rPr>
                      <m:t>UP</m:t>
                    </m:r>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935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osigurava podatke sa stanjem na kraju godine, a ograničenje je vezano uz činjenicu da izvor ne pruža uvid u vlasničku strukturu obrta koji nisu obveznici poreza na dobit.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Temeljno je ograničenje što je nemoguće izdvojiti objekte koji nisu na području destinacije, no njihovo sjedište jest, te se time vode kao poslovni subjekti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Opcionalno moguće je i provesti anketu gospodarskih subjekata.</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Početna vrijednost 2025.</w:t>
            </w:r>
          </w:p>
        </w:tc>
        <w:tc>
          <w:tcPr>
            <w:tcW w:w="3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195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7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184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467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94%</w:t>
            </w:r>
          </w:p>
        </w:tc>
        <w:tc>
          <w:tcPr>
            <w:tcW w:w="3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195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197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184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993"/>
        <w:gridCol w:w="4065"/>
        <w:gridCol w:w="2087"/>
        <w:gridCol w:w="2044"/>
        <w:gridCol w:w="1950"/>
        <w:gridCol w:w="1887"/>
      </w:tblGrid>
      <w:tr w:rsidR="00702E3C">
        <w:tc>
          <w:tcPr>
            <w:tcW w:w="1970"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056"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Postotak muškaraca i žena zaposlenih u području I Djelatnost pružanja smještaja te pripreme i usluživanja hrane (SPGS-5)</w:t>
            </w:r>
          </w:p>
        </w:tc>
      </w:tr>
      <w:tr w:rsidR="00702E3C">
        <w:tc>
          <w:tcPr>
            <w:tcW w:w="1970"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99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 (prilagodba) – Poslovanje gospodarskih objekata i gospodarska struktura djelatnosti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SDG-ovima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5. Jačanje ljudskih potencijala u turizmu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spolna struktura zaposlenih u JLS u području I Djelatnost pružanja smještaja te pripreme i usluživanja hrane kao najvažnijoj turističkoj djelatnosti (prema kriteriju udjela u ostvarenoj dodanoj vrijednosti turizma)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analizu gospodarske strukture s obzirom na spolnu strukturu zaposlenih.</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Definiraju se dva pokazatelja: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Udio žena zaposlenih na području destinacije u području I Djelatnost pružanja smještaja te pripreme i usluživanja hrane koji se definira se kao razlomak u kojem je brojnik prosječan broj zaposlenih žena tijekom godine, a nazivnik ukupno prosječan broj zaposlenih tijekom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2. Udio muškaraca zaposlenih na području destinacije u području I Djelatnost pružanja smještaja te pripreme i usluživanja hrane koji se definira se kao razlomak u kojem je brojnik prosječan broj zaposlenih muškaraca tijekom godine, a nazivnik ukupno prosječan broj zaposlenih tijekom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 muškaraca i žena zaposlenih u djelatnostima iz Područja I Djelatnost pružanja smještaja te pripreme i usluživanja hrane tijekom 3 uzastopna mjeseca najveće gospodarske aktivnosti u djelatnosti mjerene ostvarenim poslovnih prihodom ili ostvarenim brojem noćenja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žena zaposlenih na teritoriju destinacije u djelatnostima iz Područja I Djelatnosti pružanja smještaja te pripreme i usluživanja hrane, prosjek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muškaraca zaposlenih na teritoriju destinacije u djelatnostima iz Područja I Djelatnosti pružanja smještaja te pripreme i usluživanja hrane, prosjek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Broj zaposlenih na teritoriju destinacije u djelatnostima iz Područja I Djelatnosti pružanja smještaja te pripreme i usluživanja hrane, prosjek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Državni zavod za statistiku, posebna obrada podataka Prosječan godišnjih broj ukupno zaposlenih prema područjima djelatnosti važećeg NKD-a i po županijama, administrativni izvori (prema ZAPOSLENOST I PLAĆE – PREGLED PO ŽUPANIJAMA) za jedinice lokalne samouprave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Alternativni izvor: Ministarstvo rada, mirovinskog sustava, obitelji i socijalne politike (MMRMSOP) – Portal za napredno praćenje tržišta rada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za županije je dostupan, podrazumijeva posebnu obradu kako bi se dobili podaci na razini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kontinuirano dostupan godišnjoj razini</w:t>
            </w:r>
          </w:p>
        </w:tc>
      </w:tr>
      <w:tr w:rsidR="00702E3C">
        <w:tc>
          <w:tcPr>
            <w:tcW w:w="5967"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Sve spomenute veličine se preuzimaju iz službenih administrativnih izvora. Podrazumijeva se da se odnose na poslovne subjekte u djelatnostima iz područja I Djelatnosti pružanja smještaja te pripreme i usluživanja hrane sa sjedištem na teritoriju destinacije.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UK</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Ukupan broj zaposlenih, prosjek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Ž</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zaposlenih žena, prosjek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M</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zaposlenih muškaraca, prosjek godine</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zaposlenih žena u djelatnostima iz Područja I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ž</m:t>
                        </m:r>
                      </m:sub>
                    </m:sSub>
                  </m:num>
                  <m:den>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uk</m:t>
                        </m:r>
                      </m:sub>
                    </m:sSub>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zaposlenih muškaraca u djelatnostima iz Područja I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m</m:t>
                        </m:r>
                      </m:sub>
                    </m:sSub>
                  </m:num>
                  <m:den>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uk</m:t>
                        </m:r>
                      </m:sub>
                    </m:sSub>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5967"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Učestalost mjerenja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5967"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osigurava podatke sa stanjem na razini mjeseca te prosjeka godine, a ograničenje je vezano uz činjenicu da izvor pruža uvid u broj zaposlenih prema destinacije prebivališta/boravišta zaposlenih, ne destinacije na kojem se nalazi sjedište gospodarskog subjekta.</w:t>
            </w:r>
          </w:p>
        </w:tc>
      </w:tr>
      <w:tr w:rsidR="00702E3C">
        <w:tc>
          <w:tcPr>
            <w:tcW w:w="596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9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6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96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43% žene</w:t>
            </w:r>
          </w:p>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val="en-US" w:eastAsia="hr-HR"/>
                <w14:ligatures w14:val="none"/>
              </w:rPr>
              <w:t>57% muškarci</w:t>
            </w:r>
          </w:p>
        </w:tc>
        <w:tc>
          <w:tcPr>
            <w:tcW w:w="209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6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78"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91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944"/>
        <w:gridCol w:w="3922"/>
        <w:gridCol w:w="2847"/>
        <w:gridCol w:w="2704"/>
        <w:gridCol w:w="2609"/>
      </w:tblGrid>
      <w:tr w:rsidR="00702E3C">
        <w:tc>
          <w:tcPr>
            <w:tcW w:w="1914"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12"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Zaposlenost u području I Djelatnost pružanja smještaja te pripreme i usluživanja hrane prema dobi, stupnju obrazovanja te vrsti ugovora (SPGS-6)</w:t>
            </w:r>
          </w:p>
        </w:tc>
      </w:tr>
      <w:tr w:rsidR="00702E3C">
        <w:tc>
          <w:tcPr>
            <w:tcW w:w="1914"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83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MST/ETIS (prilagodba) – poslovanje gospodarskih objekata i gospodarska struktura djelatnosti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5. Jačanje ljudskih potencijala u turizmu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zaposlenost u području I Djelatnost pružanja smještaja te pripreme i usluživanja hrane kao najvažnijoj turističkoj djelatnosti (prema kriteriju udjela u ostvarenoj dodanoj vrijednosti turizma) prema dobi, stupnju obrazovanja i vrsti ugovora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gospodarske strukture s obzirom na obilježja zaposlenih.</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Definiraju se tri pokazatelja: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Udio godišnjeg prosjeka zaposlenih u dobi od 25 – 49 godine u ukupnom broju zaposlenih koji se definira se razlomak u kojem je brojnik prosječan godišnji broja zaposlenih u dobi od 25 – 49 godine, a nazivnik prosječan godišnji broj ukupno zaposlenih pomnožen sa 100</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Udio godišnjeg prosjeka zaposlenih sa strukovnom školom (niža i srednja stručna sprema) u ukupnom broju zaposlenih koji se definira kao razlomak u kojem je brojnik prosječan godišnji broj zaposlenih sa strukovnom školom, a nazivnik ukupan godišnji prosječan broj zaposlenih pomnožen sa 100</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Udio prosječnog broja sezonski zaposlenih djelatnika u ukupnom broju zaposlenih tijekom 3 uzastopna mjeseca najveće gospodarske aktivnosti u djelatnosti mjerene ostvarenim poslovnih prihodom ili ostvarenim brojem noćenja koji se definira kao razlomak u kojem je brojnik tromjesečni prosjek broj sezonski zaposlenih djelatnika, a nazivnik tromjesečni prosječni broja ukupno zaposlenih pomnožen sa 100</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(opcinalno)</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Izračun svakog pokazatelja s obzirom na spolnu strukturu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zaposlenih u dobi od 25 – 49 godine, prosjek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zaposlenih sa strukovnom školom (niža i srednja stručna sprema), prosjek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Broj sezonski zaposlenih, prosjek 3 uzastopna mjeseca najveće gospodarske aktivnosti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 Broj zaposlenih, prosjek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5. Broj zaposlenih, prosjek 3 uzastopna mjeseca najveće gospodarske aktivnosti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5. Anketa svih gospodarskih subjekata (pravne osobe i obrti) u području I Djelatnost pružanja smještaja te pripreme i usluživanja hrane, koja se provodi u siječnju za prethodnu godinu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Alternativni izvor: Ministarstvo rada, mirovinskog sustava, obitelji i socijalne politike (MMRMSOP) – Portal za napredno praćenje tržišta rada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5. Podatci nisu dostupni i podrazumijevaju provedbu prikupljanja podataka od svih gospodarskih subjekta (pravne osobe i obrti) u Području I Djelatnost pružanja smještaja te pripreme i usluživanja hrane kao najvažnijoj turističkoj djelatnosti (prema kriteriju udjela u ostvarenoj dodanoj vrijednosti turizma) na razini destinacije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Alternativni podatci zahtijevaju dodatnu obradu.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Provedba primarnog istraživanja u gospodarskim subjektima na temelju prethodno pripremljenog i najavljenog upitnika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Jedanput godišnje (anketa se provodi u siječnju za prethodnu godinu, uz prethodnu najavu gospodarskim subjektima)</w:t>
            </w:r>
          </w:p>
        </w:tc>
      </w:tr>
      <w:tr w:rsidR="00702E3C">
        <w:tc>
          <w:tcPr>
            <w:tcW w:w="5749"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se prikupljaju elektronskim putem od gospodarskih subjekata na temelju prethodno dostavljenog upitnika, obrada podataka vrši se podataka od gospodarskih subjekata prema pojedinim skupinama zaposlenih na razinu JLS.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Za sve spomenute veličine se podrazumijeva da se odnose na poslovne subjekte u djelatnostima iz područja I Djelatnosti pružanja smještaja te pripreme i usluživanja hrane sa sjedištem na teritoriju destinacije.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UK</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Ukupan broj zaposlenih, prosjek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MAX3</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Ukupan broj zaposlenih, prosjek 3 uzastopna mjeseca najveće gospodarske aktivnosti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25-49</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zaposlenih u dobi od 25 – 49 godine, prosjek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SŠ</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zaposlenih sa strukovnom školom (niža i srednja stručna sprema), prosjek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ZP</w:t>
            </w:r>
            <w:r>
              <w:rPr>
                <w:rFonts w:ascii="Times New Roman" w:eastAsia="Times New Roman" w:hAnsi="Times New Roman" w:cs="Times New Roman"/>
                <w:i/>
                <w:iCs/>
                <w:kern w:val="0"/>
                <w:sz w:val="20"/>
                <w:szCs w:val="20"/>
                <w:vertAlign w:val="subscript"/>
                <w:lang w:eastAsia="hr-HR"/>
                <w14:ligatures w14:val="none"/>
              </w:rPr>
              <w:t>SZ</w:t>
            </w:r>
            <w:r>
              <w:rPr>
                <w:rFonts w:ascii="Times New Roman" w:eastAsia="Times New Roman" w:hAnsi="Times New Roman" w:cs="Times New Roman"/>
                <w:i/>
                <w:iCs/>
                <w:kern w:val="0"/>
                <w:sz w:val="20"/>
                <w:szCs w:val="20"/>
                <w:lang w:eastAsia="hr-HR"/>
                <w14:ligatures w14:val="none"/>
              </w:rPr>
              <w:t> – </w:t>
            </w:r>
            <w:r>
              <w:rPr>
                <w:rFonts w:ascii="Times New Roman" w:eastAsia="Times New Roman" w:hAnsi="Times New Roman" w:cs="Times New Roman"/>
                <w:kern w:val="0"/>
                <w:sz w:val="20"/>
                <w:szCs w:val="20"/>
                <w:lang w:eastAsia="hr-HR"/>
                <w14:ligatures w14:val="none"/>
              </w:rPr>
              <w:t>Broj sezonski zaposlenih, prosjek 3 uzastopna mjeseca najveće gospodarske aktivnosti</w:t>
            </w:r>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zaposlenih u dobi od 25 - 49 u djelatnostima iz Područja I=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25-49</m:t>
                        </m:r>
                      </m:sub>
                    </m:sSub>
                  </m:num>
                  <m:den>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uk</m:t>
                        </m:r>
                      </m:sub>
                    </m:sSub>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p w:rsidR="00702E3C" w:rsidRDefault="004B1C83">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zaposlenih sa strukovnom školom u djelatnostima iz Područja I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sš</m:t>
                        </m:r>
                      </m:sub>
                    </m:sSub>
                  </m:num>
                  <m:den>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uk</m:t>
                        </m:r>
                      </m:sub>
                    </m:sSub>
                  </m:den>
                </m:f>
                <m:r>
                  <w:rPr>
                    <w:rFonts w:ascii="Cambria Math" w:eastAsia="Times New Roman" w:hAnsi="Cambria Math" w:cs="Times New Roman"/>
                    <w:kern w:val="0"/>
                    <w:sz w:val="20"/>
                    <w:szCs w:val="20"/>
                    <w:lang w:eastAsia="hr-HR"/>
                    <w14:ligatures w14:val="none"/>
                  </w:rPr>
                  <m:t xml:space="preserve"> ×100%</m:t>
                </m:r>
              </m:oMath>
            </m:oMathPara>
          </w:p>
          <w:p w:rsidR="00702E3C" w:rsidRDefault="004B1C83">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Udio sezonskih zaposlenih djelatnika tijekom  u djelatnostima iz Područja I = </m:t>
                </m:r>
                <m:f>
                  <m:fPr>
                    <m:ctrlPr>
                      <w:rPr>
                        <w:rFonts w:ascii="Cambria Math" w:eastAsia="Times New Roman" w:hAnsi="Cambria Math" w:cs="Times New Roman"/>
                        <w:i/>
                        <w:kern w:val="0"/>
                        <w:sz w:val="20"/>
                        <w:szCs w:val="20"/>
                        <w:lang w:eastAsia="hr-HR"/>
                        <w14:ligatures w14:val="none"/>
                      </w:rPr>
                    </m:ctrlPr>
                  </m:fPr>
                  <m:num>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sz</m:t>
                        </m:r>
                      </m:sub>
                    </m:sSub>
                  </m:num>
                  <m:den>
                    <m:sSub>
                      <m:sSubPr>
                        <m:ctrlPr>
                          <w:rPr>
                            <w:rFonts w:ascii="Cambria Math" w:eastAsia="Times New Roman" w:hAnsi="Cambria Math" w:cs="Times New Roman"/>
                            <w:i/>
                            <w:kern w:val="0"/>
                            <w:sz w:val="20"/>
                            <w:szCs w:val="20"/>
                            <w:lang w:eastAsia="hr-HR"/>
                            <w14:ligatures w14:val="none"/>
                          </w:rPr>
                        </m:ctrlPr>
                      </m:sSubPr>
                      <m:e>
                        <m:r>
                          <w:rPr>
                            <w:rFonts w:ascii="Cambria Math" w:eastAsia="Times New Roman" w:hAnsi="Cambria Math" w:cs="Times New Roman"/>
                            <w:kern w:val="0"/>
                            <w:sz w:val="20"/>
                            <w:szCs w:val="20"/>
                            <w:lang w:eastAsia="hr-HR"/>
                            <w14:ligatures w14:val="none"/>
                          </w:rPr>
                          <m:t>ZP</m:t>
                        </m:r>
                      </m:e>
                      <m:sub>
                        <m:r>
                          <w:rPr>
                            <w:rFonts w:ascii="Cambria Math" w:eastAsia="Times New Roman" w:hAnsi="Cambria Math" w:cs="Times New Roman"/>
                            <w:kern w:val="0"/>
                            <w:sz w:val="20"/>
                            <w:szCs w:val="20"/>
                            <w:lang w:eastAsia="hr-HR"/>
                            <w14:ligatures w14:val="none"/>
                          </w:rPr>
                          <m:t>MAX3</m:t>
                        </m:r>
                      </m:sub>
                    </m:sSub>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5749"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5749"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Ograničenja pokazatelja i perspektive</w:t>
            </w:r>
          </w:p>
        </w:tc>
        <w:tc>
          <w:tcPr>
            <w:tcW w:w="8277"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osigurava potrebne podatke za definiranje pokazatelja, a ograničenje je vezano uz interes gospodarskih subjekata da pravodobno osiguraju podatke, kao i sposobnost destinacije da definiraju upitnik i osiguraju precizne upute za ispunjavanje upitnika kao i daljnju obradu prikupljenih podataka.</w:t>
            </w:r>
          </w:p>
        </w:tc>
      </w:tr>
      <w:tr w:rsidR="00702E3C">
        <w:tc>
          <w:tcPr>
            <w:tcW w:w="5749"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84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4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68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5749"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284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4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8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3"/>
        <w:gridCol w:w="4121"/>
        <w:gridCol w:w="2019"/>
        <w:gridCol w:w="2008"/>
        <w:gridCol w:w="2004"/>
        <w:gridCol w:w="2002"/>
      </w:tblGrid>
      <w:tr w:rsidR="00702E3C">
        <w:tc>
          <w:tcPr>
            <w:tcW w:w="2006"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1"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 xml:space="preserve"> Postotak nedomicilnih radnika zaposlenih u području i Djelatnost pružanja smještaja te pripreme i usluživanja hrane (SPGS-7)</w:t>
            </w:r>
          </w:p>
        </w:tc>
      </w:tr>
      <w:tr w:rsidR="00702E3C">
        <w:tc>
          <w:tcPr>
            <w:tcW w:w="2006"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UN TOURISM – MST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ekonomski rast, puna i produktivna zaposlenost te dostojanstveni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10 – Smanjenje nejednakosti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5. Jačanje ljudskih potencijala u turizmu</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prati broj radnika zaposlenih u destinacije u području I Djelatnost pružanja smještaja te pripreme i usluživanja hrane, koji nemaju prijavljeno prebivalište i/ili boravište na području Županije u kojoj se nalazi destinacija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omogućava analizu gospodarske strukture s obzirom na dostupnost radnika u destinaciji, kao i demografske parametre. Vitalnost destinacije značajno ovisi o radnoj snazi na raspolaganju, pri čemu se kao područje destinacije za definiranje domicilnosti koristi Županija, dakle nedomicilni radnici su svi radnici iz Hrvatske izvan županije destinacija i strani radnici.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Postotak nedomicilnih radnika zaposlenih u Području I Djelatnost pružanja smještaja te pripreme i usluživanja hrane tijekom 3 uzastopna mjeseca najveće gospodarske aktivnosti u djelatnosti mjerene ostvarenim poslovnih prihodom ili ostvarenim brojem noćenja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Postotak radnika iz drugih zemalja zaposlenih u Području I Djelatnost pružanja smještaja te pripreme i usluživanja hrane</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nedomicilnih radnika zaposlenih na području destinacija zaposlenih u Djelatnosti pružanja smještaja te pripreme i usluživanja hrane, prosjek godine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zaposlenih na destinacije zaposlenih u Djelatnosti pružanja smještaja te pripreme i usluživanja hrane, prosjek godine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broj radnika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Ministarstvo rada, mirovinskog sustava, obitelji i socijalne politike – Portal za napredno praćenje tržišta rada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Dostupan (uz zahtjev i obradu podataka)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kontinuirano dostupan</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BNR – </w:t>
            </w:r>
            <w:r>
              <w:rPr>
                <w:rFonts w:ascii="Times New Roman" w:eastAsia="Times New Roman" w:hAnsi="Times New Roman" w:cs="Times New Roman"/>
                <w:kern w:val="0"/>
                <w:sz w:val="20"/>
                <w:szCs w:val="20"/>
                <w:lang w:eastAsia="hr-HR"/>
                <w14:ligatures w14:val="none"/>
              </w:rPr>
              <w:t>Broj nedomicilnih radnika zaposlenih na području destinacije zaposlenih u Djelatnosti pružanja smještaja te pripreme i usluživanja hrane, prosjek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BZ – </w:t>
            </w:r>
            <w:r>
              <w:rPr>
                <w:rFonts w:ascii="Times New Roman" w:eastAsia="Times New Roman" w:hAnsi="Times New Roman" w:cs="Times New Roman"/>
                <w:kern w:val="0"/>
                <w:sz w:val="20"/>
                <w:szCs w:val="20"/>
                <w:lang w:eastAsia="hr-HR"/>
                <w14:ligatures w14:val="none"/>
              </w:rPr>
              <w:t>Broj zaposlenih na području destinacije zaposlenih u Djelatnosti pružanja smještaja te pripreme i usluživanja hrane, prosjek godine</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 xml:space="preserve">Postotak nedomicilnih radnika zaposlenih u području I = </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BNR</m:t>
                    </m:r>
                  </m:num>
                  <m:den>
                    <m:r>
                      <w:rPr>
                        <w:rFonts w:ascii="Cambria Math" w:eastAsia="Times New Roman" w:hAnsi="Cambria Math" w:cs="Times New Roman"/>
                        <w:kern w:val="0"/>
                        <w:sz w:val="20"/>
                        <w:szCs w:val="20"/>
                        <w:lang w:eastAsia="hr-HR"/>
                        <w14:ligatures w14:val="none"/>
                      </w:rPr>
                      <m:t>BZ</m:t>
                    </m:r>
                  </m:den>
                </m:f>
                <m:r>
                  <w:rPr>
                    <w:rFonts w:ascii="Cambria Math" w:eastAsia="Times New Roman" w:hAnsi="Cambria Math" w:cs="Times New Roman"/>
                    <w:kern w:val="0"/>
                    <w:sz w:val="20"/>
                    <w:szCs w:val="20"/>
                    <w:lang w:eastAsia="hr-HR"/>
                    <w14:ligatures w14:val="none"/>
                  </w:rPr>
                  <m:t xml:space="preserve"> ×100% </m:t>
                </m:r>
              </m:oMath>
            </m:oMathPara>
          </w:p>
          <w:p w:rsidR="00702E3C" w:rsidRDefault="00702E3C">
            <w:pPr>
              <w:spacing w:after="0" w:line="240" w:lineRule="auto"/>
              <w:jc w:val="center"/>
              <w:textAlignment w:val="baseline"/>
              <w:rPr>
                <w:rFonts w:ascii="Times New Roman" w:eastAsia="Times New Roman" w:hAnsi="Times New Roman" w:cs="Times New Roman"/>
                <w:kern w:val="0"/>
                <w:sz w:val="20"/>
                <w:szCs w:val="20"/>
                <w:lang w:eastAsia="hr-HR"/>
                <w14:ligatures w14:val="none"/>
              </w:rPr>
            </w:pP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6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Ograničenje je vezano uz činjenicu da izvor pruža uvid u broj zaposlenih prema JLS prebivališta/boravišta zaposlenih, ne destinacija na kojem se nalazi sjedište gospodarskog subjekta.</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1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1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0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N/A</w:t>
            </w:r>
          </w:p>
        </w:tc>
        <w:tc>
          <w:tcPr>
            <w:tcW w:w="202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12"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c>
          <w:tcPr>
            <w:tcW w:w="201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jc w:val="center"/>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pStyle w:val="Naslov1"/>
        <w:numPr>
          <w:ilvl w:val="0"/>
          <w:numId w:val="23"/>
        </w:numPr>
        <w:rPr>
          <w:rFonts w:ascii="Times New Roman" w:eastAsia="Times New Roman" w:hAnsi="Times New Roman" w:cs="Times New Roman"/>
          <w:b/>
          <w:bCs/>
          <w:lang w:eastAsia="hr-HR"/>
        </w:rPr>
      </w:pPr>
      <w:bookmarkStart w:id="110" w:name="_Toc217040738"/>
      <w:r>
        <w:rPr>
          <w:rFonts w:ascii="Times New Roman" w:eastAsia="Times New Roman" w:hAnsi="Times New Roman" w:cs="Times New Roman"/>
          <w:b/>
          <w:bCs/>
          <w:lang w:eastAsia="hr-HR"/>
        </w:rPr>
        <w:t>SPECIFIČNI POKAZATELJI ODRŽIVOSTI KOJI MJERE UTJECAJ TURIZMA NA PROSTORNE ASPEKTE ODRŽIVOSTI DESTINACIJE</w:t>
      </w:r>
      <w:bookmarkEnd w:id="110"/>
    </w:p>
    <w:p w:rsidR="00702E3C" w:rsidRDefault="004B1C83">
      <w:pPr>
        <w:pStyle w:val="Naslov2"/>
        <w:numPr>
          <w:ilvl w:val="1"/>
          <w:numId w:val="23"/>
        </w:numPr>
        <w:rPr>
          <w:rFonts w:ascii="Times New Roman" w:eastAsia="Times New Roman" w:hAnsi="Times New Roman" w:cs="Times New Roman"/>
          <w:lang w:eastAsia="hr-HR"/>
        </w:rPr>
      </w:pPr>
      <w:bookmarkStart w:id="111" w:name="_Toc217040739"/>
      <w:r>
        <w:rPr>
          <w:rFonts w:ascii="Times New Roman" w:eastAsia="Times New Roman" w:hAnsi="Times New Roman" w:cs="Times New Roman"/>
          <w:lang w:eastAsia="hr-HR"/>
        </w:rPr>
        <w:t>Turistička infrastruktura</w:t>
      </w:r>
      <w:bookmarkEnd w:id="111"/>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026" w:type="dxa"/>
        <w:shd w:val="clear" w:color="auto" w:fill="FFFFFF"/>
        <w:tblCellMar>
          <w:left w:w="0" w:type="dxa"/>
          <w:right w:w="0" w:type="dxa"/>
        </w:tblCellMar>
        <w:tblLook w:val="04A0" w:firstRow="1" w:lastRow="0" w:firstColumn="1" w:lastColumn="0" w:noHBand="0" w:noVBand="1"/>
      </w:tblPr>
      <w:tblGrid>
        <w:gridCol w:w="1693"/>
        <w:gridCol w:w="709"/>
        <w:gridCol w:w="2693"/>
        <w:gridCol w:w="1560"/>
        <w:gridCol w:w="1470"/>
        <w:gridCol w:w="984"/>
        <w:gridCol w:w="983"/>
        <w:gridCol w:w="983"/>
        <w:gridCol w:w="984"/>
        <w:gridCol w:w="983"/>
        <w:gridCol w:w="984"/>
      </w:tblGrid>
      <w:tr w:rsidR="00702E3C">
        <w:tc>
          <w:tcPr>
            <w:tcW w:w="169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333" w:type="dxa"/>
            <w:gridSpan w:val="10"/>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Broj ugostiteljskih objekata koji poslužuju hranu aktivnih na 30. 1. i 30. 7. u odnosu na 100 stanovnika (STI-1)</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 Sezonalnost poslovanja turističkih poduzeća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destinacijom, poslovanje gospodarskih subjekata u turizmu</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Cjelogodišnji i regionalno uravnoteženiji turizam;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1. Razvoj vremenski i prostorno ravnomjernije raspoređenog turističkog prometa; 10. Repozicioniranje Hrvatske kao cjelogodišnje autentične destinacije održivog turizma</w:t>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utvrđuje omjer ugostiteljskih objekata koji poslužuju hranu i broja stanovnika u destinaciji u razdoblju izvan glavne sezone i u središtu glavne sezone.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Manja razlika između dva omjera ukazuje na postojanje većeg broja objekata koji rade tijekom cijele godine. Veća vrijednost pokazatelja sugerira veću atraktivnost destinacije.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r>
              <w:rPr>
                <w:rFonts w:ascii="Times New Roman" w:eastAsia="Times New Roman" w:hAnsi="Times New Roman" w:cs="Times New Roman"/>
                <w:kern w:val="0"/>
                <w:sz w:val="20"/>
                <w:szCs w:val="20"/>
                <w:lang w:eastAsia="hr-HR"/>
                <w14:ligatures w14:val="none"/>
              </w:rPr>
              <w:br/>
            </w:r>
          </w:p>
        </w:tc>
      </w:tr>
      <w:tr w:rsidR="00702E3C">
        <w:tc>
          <w:tcPr>
            <w:tcW w:w="1693" w:type="dxa"/>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stanovnika u destinaciji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ugostiteljskih objekata koji poslužuju hranu u destinaciji, aktivni na određeni dan</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stanovnika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objekata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Državni zavod za statistiku, Gradovi i općine u statistici ~ Stanovništvo – procjena i prirodno kretanje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Popis ugostiteljskih objekata iz skupina »Restorani«, »Barovi«, »Catering objekti« i »Objekti jednostavnih usluga«, definiranih u Pravilniku o razvrstavanju i minimalnim uvjetima ugostiteljskih objekata iz skupina »Restorani«, »Barovi«, »Catering objekti« i »Objekti jednostavnih usluga«, unutar destinacije Upisnik ugostiteljskih objekata vode odgovarajuća upravna tijela županija, odnosno Grada Zagreba.</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Podatak je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Popis objekata je dostupan. Iz popisa nije jasno koji objekti kada rade i koji od objekata pružaju uslugu posluživanja hrane.</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 temelju popisa registriranih ugostiteljskih objekata, anketiranjem utvrditi koji od objekata s liste rade, a koji ne, u promatranom vremenskom intervalu.</w:t>
            </w:r>
          </w:p>
        </w:tc>
      </w:tr>
      <w:tr w:rsidR="00702E3C">
        <w:tc>
          <w:tcPr>
            <w:tcW w:w="1693" w:type="dxa"/>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puta godišnje</w:t>
            </w:r>
          </w:p>
        </w:tc>
      </w:tr>
      <w:tr w:rsidR="00702E3C">
        <w:tc>
          <w:tcPr>
            <w:tcW w:w="5095" w:type="dxa"/>
            <w:gridSpan w:val="3"/>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A – </w:t>
            </w:r>
            <w:r>
              <w:rPr>
                <w:rFonts w:ascii="Times New Roman" w:eastAsia="Times New Roman" w:hAnsi="Times New Roman" w:cs="Times New Roman"/>
                <w:kern w:val="0"/>
                <w:sz w:val="20"/>
                <w:szCs w:val="20"/>
                <w:lang w:eastAsia="hr-HR"/>
                <w14:ligatures w14:val="none"/>
              </w:rPr>
              <w:t>broj ugostiteljskih objekata koji pružaju uslugu posluživanja hrane koji su aktivni na određeni dan u destinaciji.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BS – </w:t>
            </w:r>
            <w:r>
              <w:rPr>
                <w:rFonts w:ascii="Times New Roman" w:eastAsia="Times New Roman" w:hAnsi="Times New Roman" w:cs="Times New Roman"/>
                <w:kern w:val="0"/>
                <w:sz w:val="20"/>
                <w:szCs w:val="20"/>
                <w:lang w:eastAsia="hr-HR"/>
                <w14:ligatures w14:val="none"/>
              </w:rPr>
              <w:t>broj stanovnika u destinaciji prema podacima DZSa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C – </w:t>
            </w:r>
            <w:r>
              <w:rPr>
                <w:rFonts w:ascii="Times New Roman" w:eastAsia="Times New Roman" w:hAnsi="Times New Roman" w:cs="Times New Roman"/>
                <w:kern w:val="0"/>
                <w:sz w:val="20"/>
                <w:szCs w:val="20"/>
                <w:lang w:eastAsia="hr-HR"/>
                <w14:ligatures w14:val="none"/>
              </w:rPr>
              <w:t>broj aktivnih ugostiteljskih objekata koji poslužuju hranu na 100 stanovnika,</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C=</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A</m:t>
                    </m:r>
                  </m:num>
                  <m:den>
                    <m:r>
                      <w:rPr>
                        <w:rFonts w:ascii="Cambria Math" w:eastAsia="Times New Roman" w:hAnsi="Cambria Math" w:cs="Times New Roman"/>
                        <w:kern w:val="0"/>
                        <w:sz w:val="20"/>
                        <w:szCs w:val="20"/>
                        <w:lang w:eastAsia="hr-HR"/>
                        <w14:ligatures w14:val="none"/>
                      </w:rPr>
                      <m:t>BS</m:t>
                    </m:r>
                  </m:den>
                </m:f>
                <m:r>
                  <w:rPr>
                    <w:rFonts w:ascii="Cambria Math" w:eastAsia="Times New Roman" w:hAnsi="Cambria Math" w:cs="Times New Roman"/>
                    <w:kern w:val="0"/>
                    <w:sz w:val="20"/>
                    <w:szCs w:val="20"/>
                    <w:lang w:eastAsia="hr-HR"/>
                    <w14:ligatures w14:val="none"/>
                  </w:rPr>
                  <m:t xml:space="preserve"> ×100</m:t>
                </m:r>
              </m:oMath>
            </m:oMathPara>
          </w:p>
        </w:tc>
      </w:tr>
      <w:tr w:rsidR="00702E3C">
        <w:tc>
          <w:tcPr>
            <w:tcW w:w="5095" w:type="dxa"/>
            <w:gridSpan w:val="3"/>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puta godišnje</w:t>
            </w:r>
          </w:p>
        </w:tc>
      </w:tr>
      <w:tr w:rsidR="00702E3C">
        <w:tc>
          <w:tcPr>
            <w:tcW w:w="5095" w:type="dxa"/>
            <w:gridSpan w:val="3"/>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931" w:type="dxa"/>
            <w:gridSpan w:val="8"/>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Navedeni datumi u kojima se prati broj aktivnih ugostiteljskih objekata koji poslužuju hranu se mogu i promijeniti. Bitno je da jedan datum bude u razdoblju najvećeg broja noćenja turista, a drugi u razdoblju najmanjeg broja noćenja turista u destinaciji.</w:t>
            </w:r>
            <w:r>
              <w:rPr>
                <w:rFonts w:ascii="Times New Roman" w:eastAsia="Times New Roman" w:hAnsi="Times New Roman" w:cs="Times New Roman"/>
                <w:kern w:val="0"/>
                <w:sz w:val="20"/>
                <w:szCs w:val="20"/>
                <w:lang w:eastAsia="hr-HR"/>
                <w14:ligatures w14:val="none"/>
              </w:rPr>
              <w:br/>
              <w:t>Bolju informaciju o ugostiteljskoj ponudi bi pružio podataka o broju raspoloživih stolaca u ugostiteljskim objektima koji pružaju uslugu posluživanja hrane po stanovniku. Podatak o broju stolaca se može prikupiti pri provođenju anketnog istraživanja. Za objekte razvrstane u skupinu »Objekti jednostavnih usluga«, nije potrebno prikupljati podatke o broju stolaca.</w:t>
            </w:r>
          </w:p>
        </w:tc>
      </w:tr>
      <w:tr w:rsidR="00702E3C">
        <w:tc>
          <w:tcPr>
            <w:tcW w:w="5095" w:type="dxa"/>
            <w:gridSpan w:val="3"/>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3030" w:type="dxa"/>
            <w:gridSpan w:val="2"/>
            <w:tcBorders>
              <w:top w:val="single" w:sz="6" w:space="0" w:color="auto"/>
              <w:left w:val="single" w:sz="6" w:space="0" w:color="auto"/>
              <w:bottom w:val="single" w:sz="6" w:space="0" w:color="auto"/>
              <w:right w:val="single" w:sz="6" w:space="0" w:color="auto"/>
            </w:tcBorders>
            <w:shd w:val="clear" w:color="auto" w:fill="EA7666" w:themeFill="accent5" w:themeFillTint="99"/>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196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1967" w:type="dxa"/>
            <w:gridSpan w:val="2"/>
            <w:tcBorders>
              <w:top w:val="single" w:sz="6" w:space="0" w:color="auto"/>
              <w:left w:val="single" w:sz="6" w:space="0" w:color="auto"/>
              <w:bottom w:val="single" w:sz="6" w:space="0" w:color="auto"/>
              <w:right w:val="single" w:sz="6" w:space="0" w:color="auto"/>
            </w:tcBorders>
            <w:shd w:val="clear" w:color="auto" w:fill="EA7666" w:themeFill="accent5" w:themeFillTint="99"/>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196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240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lastRenderedPageBreak/>
              <w:t>30.01.                     0,41%</w:t>
            </w:r>
          </w:p>
        </w:tc>
        <w:tc>
          <w:tcPr>
            <w:tcW w:w="2693" w:type="dxa"/>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30.07.                          1,06 %</w:t>
            </w:r>
          </w:p>
        </w:tc>
        <w:tc>
          <w:tcPr>
            <w:tcW w:w="1560" w:type="dxa"/>
            <w:tcBorders>
              <w:top w:val="single" w:sz="6" w:space="0" w:color="auto"/>
              <w:left w:val="single" w:sz="6" w:space="0" w:color="auto"/>
              <w:bottom w:val="single" w:sz="6" w:space="0" w:color="auto"/>
              <w:right w:val="single" w:sz="6" w:space="0" w:color="auto"/>
            </w:tcBorders>
            <w:shd w:val="clear" w:color="auto" w:fill="F1A399" w:themeFill="accent5" w:themeFillTint="66"/>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1470"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984" w:type="dxa"/>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983" w:type="dxa"/>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983"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984" w:type="dxa"/>
            <w:tcBorders>
              <w:top w:val="single" w:sz="6" w:space="0" w:color="auto"/>
              <w:left w:val="single" w:sz="6" w:space="0" w:color="auto"/>
              <w:bottom w:val="single" w:sz="6" w:space="0" w:color="auto"/>
              <w:right w:val="single" w:sz="6" w:space="0" w:color="auto"/>
            </w:tcBorders>
            <w:shd w:val="clear" w:color="auto" w:fill="F1A399" w:themeFill="accent5" w:themeFillTint="66"/>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983" w:type="dxa"/>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984" w:type="dxa"/>
            <w:tcBorders>
              <w:top w:val="single" w:sz="6" w:space="0" w:color="auto"/>
              <w:left w:val="single" w:sz="6" w:space="0" w:color="auto"/>
              <w:bottom w:val="single" w:sz="6" w:space="0" w:color="auto"/>
              <w:right w:val="single" w:sz="6" w:space="0" w:color="auto"/>
            </w:tcBorders>
            <w:shd w:val="clear" w:color="auto" w:fill="F8D1CC" w:themeFill="accent5" w:themeFillTint="33"/>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4B1C83">
      <w:pPr>
        <w:pStyle w:val="Naslov2"/>
        <w:numPr>
          <w:ilvl w:val="1"/>
          <w:numId w:val="23"/>
        </w:numPr>
        <w:rPr>
          <w:rFonts w:ascii="Times New Roman" w:eastAsia="Times New Roman" w:hAnsi="Times New Roman" w:cs="Times New Roman"/>
          <w:lang w:eastAsia="hr-HR"/>
        </w:rPr>
      </w:pPr>
      <w:bookmarkStart w:id="112" w:name="_Toc217040740"/>
      <w:r>
        <w:rPr>
          <w:rFonts w:ascii="Times New Roman" w:eastAsia="Times New Roman" w:hAnsi="Times New Roman" w:cs="Times New Roman"/>
          <w:lang w:eastAsia="hr-HR"/>
        </w:rPr>
        <w:t>Održivo upravljanje destinacijom</w:t>
      </w:r>
      <w:bookmarkEnd w:id="112"/>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4"/>
        <w:gridCol w:w="4129"/>
        <w:gridCol w:w="2680"/>
        <w:gridCol w:w="2672"/>
        <w:gridCol w:w="2672"/>
      </w:tblGrid>
      <w:tr w:rsidR="00702E3C">
        <w:tc>
          <w:tcPr>
            <w:tcW w:w="2005"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2"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Javno dostupan plan odgovora na krizne i izvanredne situacije koji razmatra sektor turizma (SUOD-1)</w:t>
            </w:r>
          </w:p>
        </w:tc>
      </w:tr>
      <w:tr w:rsidR="00702E3C">
        <w:tc>
          <w:tcPr>
            <w:tcW w:w="2005"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0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A11 – Upravljanje rizicima i krizama, plan za smanjenje rizika, upravljanje krizama i plan za hitne odgovore za turizam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održivo upravljanje destinacijom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sigurnost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13 – Poduzeti hitne akcije u borbi protiv klimatskih promjena i njenih posljedica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Republika Hrvatska, kao država članica Europske unije, u obvezi je djelovati u skladu s Odlukom o Mehanizmu Unije za civilnu zaštitu. Mehanizam je usmjeren na jačanje suradnje između Unije i država članica i olakšavanje koordinacije u području civilne zaštite, s ciljem poboljšanja učinkovitosti sustava za prevenciju, pripremu i odgovor na katastrofe uzrokovane prirodnim prijetnjama te katastrofe uzrokovane ljudskim djelovanjem.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Odgovor na krizne i izvanredne situacije nalazi se u Nacionalnoj razvojnoj strategiji Republike Hrvatske do 2030. godine unutar razvojnog smjera »Jačanje otpornosti na krize«, kroz strateški cilj »Sigurnost za stabilan razvoj«. Kao prioritetna područja javnih politika unutar strateškog cilja »Sigurnost za stabilan razvoj« ističu se »Jačanje otpornosti na rizike od katastrofa i unaprjeđenje sustava civilne zaštite« te »Unaprjeđenje sustava vatrogastva«.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predstavlja dostupan i javno objavljen plan smanjenja rizika, upravljanja kriznim i izvanrednim situacijama i hitnog odgovora. Plan prepoznaje širok raspon rizika, uključujući prirodne katastrofe, terorizam, zdravlje, iscrpljivanje resursa i druge krizne i izvanredne situacije (ovisno o destinaciji) za koje postoji objektivna mogućnost ugroze na lokaciji.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Klimatske promjene utječu na učestaliju pojavnost prirodnih katastrofa poput oluja, tornada, poplava i slično. Također, pojava terorizma, kao i potresa i ostalih katastrofa u turističkim odredištima potencijalni je rizik za lokalno stanovništvo, ali i posjetitelje. Smanjenje rizika od katastrofa je koncept koji zahtijeva sustavne napore, analize i smanjenje uzročnih čimbenika katastrofa. Smanjenje izloženosti prijetnjama, smanjenje ranjivosti ljudi i imovine, mudro upravljanje zemljištem i okolišem, poboljšanje pripravnosti i rano upozoravanje na štetne događaje predstavljaju primjere smanjenja rizika od katastrofa. Nužno je da destinacija ima plan smanjenja rizika, upravljanja kriznim i izvanrednim situacijama, te plan hitnog odgovora koji je primjeren i prilagođen odredištu. Ključni element plana odgovora na krizne i izvanredne situacije je plan komunikacije sa stanovnicima, posjetiteljima i poduzećima.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Rezultati procjene rizika u nekoj destinaciji ukazuju na to da li je potrebno djelovati i u kojem segmentu, te prema mogućnostima i uz analizu troškova i koristi na regionalnoj i lokalnoj razini poduzimati korake za smanjivanje tih rizika.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Izravni ekonomski gubici pripisani katastrofama, u % BDP-a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Broj umrlih, nestalih i izravno pogođenih osoba u izvanrednim i kriznim situacijama na 100.000 stanovnika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Uspostavljeni su postupci i resursi za provedbu plana koji se redovito ažurira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Postoje jasni komunikacijski postupci identificirani za korištenje tijekom i nakon hitnog slučaja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Program za lokalno pružanje informacija i obuku o upravljanju rizikom i krizama.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Plan odgovora na krizne i izvanredne situacije koji razmatra sektor turizma (Dostupan /</w:t>
            </w:r>
            <w:r>
              <w:rPr>
                <w:rFonts w:ascii="Times New Roman" w:eastAsia="Times New Roman" w:hAnsi="Times New Roman" w:cs="Times New Roman"/>
                <w:kern w:val="0"/>
                <w:sz w:val="20"/>
                <w:szCs w:val="20"/>
                <w:lang w:eastAsia="hr-HR"/>
                <w14:ligatures w14:val="none"/>
              </w:rPr>
              <w:br/>
              <w:t>Nije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Hrvatska platforma za smanjenje rizika od katastrofa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MUP</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Državni inspektorat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Podatak je djelomično dostupan. (Planirana je izrada planova na lokalnoj i regionalnoj razini, ali nije objavljeno do kada plan treba biti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su dostupni iz Strategije upravljanja rizicima od katastrofa do 2030. godine – polazni akt strateškog planiranja za izradu planova za upravljanje rizicima od katastrofa na lokalnoj i regionalnoj razini.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Primarno istraživanje (smjernice)</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Uspostaviti jedinstvenu bazu podataka o svim štetama i ranjivostima dostupnu svim subjektima u procesu procjene rizika na nacionalnoj i lokalnoj i regionalnoj razini sa propisanim sustavom prikupljanja podataka.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informacija o broju destinacija koje posjeduju i imaju javno objavljen plan odgovora na krizne i izvanredne situacije</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Nedostupnost određenih podataka (tehnička i administrativna ograničenja)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Većina jedinica lokalne i područne (regionalne) samouprave za financiranje programa i projekata operativnih snaga sustava civilne zaštite planira minimalna sredstva, ispod obveznih potreba.</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6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68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68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48" w:line="240" w:lineRule="auto"/>
              <w:jc w:val="center"/>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05"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it-IT" w:eastAsia="hr-HR"/>
                <w14:ligatures w14:val="none"/>
              </w:rPr>
            </w:pPr>
            <w:r>
              <w:rPr>
                <w:rFonts w:ascii="Times New Roman" w:eastAsia="Times New Roman" w:hAnsi="Times New Roman" w:cs="Times New Roman"/>
                <w:b/>
                <w:bCs/>
                <w:kern w:val="0"/>
                <w:sz w:val="20"/>
                <w:szCs w:val="20"/>
                <w:lang w:val="it-IT" w:eastAsia="hr-HR"/>
                <w14:ligatures w14:val="none"/>
              </w:rPr>
              <w:t>Dostupan - Stožer civilne zaštite Općine Sali</w:t>
            </w:r>
          </w:p>
        </w:tc>
        <w:tc>
          <w:tcPr>
            <w:tcW w:w="26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268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c>
          <w:tcPr>
            <w:tcW w:w="268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48" w:line="240" w:lineRule="auto"/>
              <w:textAlignment w:val="baseline"/>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5"/>
        <w:gridCol w:w="4125"/>
        <w:gridCol w:w="2684"/>
        <w:gridCol w:w="2673"/>
        <w:gridCol w:w="2670"/>
      </w:tblGrid>
      <w:tr w:rsidR="00702E3C">
        <w:tc>
          <w:tcPr>
            <w:tcW w:w="200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4"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Specifična strategija za marketing izvansezonskih događanja i privlačenje posjetitelja tijekom cijele godine (SUOD-2)</w:t>
            </w:r>
          </w:p>
        </w:tc>
      </w:tr>
      <w:tr w:rsidR="00702E3C">
        <w:tc>
          <w:tcPr>
            <w:tcW w:w="200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A.1.1. Postotak destinacija sa strategijom/akcijskim planom održivog turizma, s dogovorenim nadzorom, kontrolom razvoja i evaluacijom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održivo upravljanje destinacijom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održivo upravljanje prostorom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zadovoljstvo lokalnog stanovništva turizmom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zadovoljstvo turista i jednodnevnih posjetitelja destinacijom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turistički promet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poslovanje gospodarskih subjekata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 Uključiv i održiv gospodarski rast, puna zaposlenost i dostojanstven rad za sve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Cjelogodišnji i regionalno uravnoteženiji turizam;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2. Repozicioniranje Hrvatske kao cjelogodišnje autentične destinacije održivog turizma;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predstavlja posjedovanje ili neposjedovanje akcijskog plana za izvansezonska događanja na razini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Visoka sezonalnost turizma posebno u ljetnim mjesecima dovodi do nepravilne raspodjele pritiska posjetitelja/turista u nekoj destinaciji. To ima veliki utjecaj na prirodne resurse. Potrebno je da destinacija ima sustav upravljanja posjetiteljima koji se redovito preispituje. U onim mjesecima u kojima je ispodprosječan broj posjetitelja nužno je donijeti akcijske planove kako bi se posjetitelji privukli i izvan sezone. Destinacija na osnovu akcijskog plana poduzima mjere za praćenje i upravlja obujmom i aktivnostima koje nudi posjetitelja. Na osnovu statističkih pokazatelja destinacije poduzima akcije kako bi utjecala na smanjenje ili povećanje broja posjetitelja. Prema potrebi destinacija u određeno vrijeme i na određenim lokacijama kroz akcijske planove radi na uspostavljanju ravnoteže između potreba lokalnog gospodarstva, zajednice, kulturne baštine i okoliša. Marketinška strategija i odabir ciljnih tržišta uzimaju u obzir obrasce posjeta, utjecaj aktivnosti i potrebe odredišta.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Donesen i usvojen e akcijski plan/(Posjeduje / Ne posjeduje)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Turistička zajednica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Brojne turističke zajednice na razini destinacije već imaju donesene akcijske planove za produljenje sezone npr. Akcijski plan gastroenološkog turizma, akcijski plan kulturnog turizma itd.</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094"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Metodologija izračuna pokazatelja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informacija o akcijskom planu usmjerenom na produljenje sezone</w:t>
            </w:r>
          </w:p>
        </w:tc>
      </w:tr>
      <w:tr w:rsidR="00702E3C">
        <w:tc>
          <w:tcPr>
            <w:tcW w:w="6094"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73"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094"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69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68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68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09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DA</w:t>
            </w:r>
          </w:p>
        </w:tc>
        <w:tc>
          <w:tcPr>
            <w:tcW w:w="269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8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68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tbl>
      <w:tblPr>
        <w:tblW w:w="14167" w:type="dxa"/>
        <w:shd w:val="clear" w:color="auto" w:fill="FFFFFF"/>
        <w:tblCellMar>
          <w:left w:w="0" w:type="dxa"/>
          <w:right w:w="0" w:type="dxa"/>
        </w:tblCellMar>
        <w:tblLook w:val="04A0" w:firstRow="1" w:lastRow="0" w:firstColumn="1" w:lastColumn="0" w:noHBand="0" w:noVBand="1"/>
      </w:tblPr>
      <w:tblGrid>
        <w:gridCol w:w="2014"/>
        <w:gridCol w:w="4126"/>
        <w:gridCol w:w="2014"/>
        <w:gridCol w:w="2006"/>
        <w:gridCol w:w="2004"/>
        <w:gridCol w:w="2003"/>
      </w:tblGrid>
      <w:tr w:rsidR="00702E3C">
        <w:tc>
          <w:tcPr>
            <w:tcW w:w="2003"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4"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textAlignment w:val="baseline"/>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Efikasnost ostvarenja ciljeva strateškog planiranja u turizmu</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(SUOD-3)</w:t>
            </w:r>
          </w:p>
        </w:tc>
      </w:tr>
      <w:tr w:rsidR="00702E3C">
        <w:tc>
          <w:tcPr>
            <w:tcW w:w="2003"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9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A.1.1. Postotak destinacija sa strategijom/akcijskim planom održivog turizma sa usuglašenim praćenjem, kontrolom razvoja i evaluacijom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destinacijom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SDG-ovima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8: Dostojan rad i ekonomski rast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Održiva potrošnja i proizvodnja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17: Partnerstvo između različitih dionika u svrhu ispunjavanja ciljeve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Zakon o sustavu strateškog planiranja i upravljanja razvojem Republike Hrvatske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utvrđuje je li definiran, objavljen i javno dostupan službeni dokument o strateškom planiranju na razini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Destinacija je uspostavila i provodi višegodišnju strategiju upravljanja destinacijom i akcijski plan koji je javno dostupan, prilagođen je području/destinaciji za koju se donosi, te je razvijen uz angažman svih dionika uključenih u proces i temelji se na načelima održivosti. Strategija uključuje identifikaciju i procjenu turističke imovine i razmatra socioekonomska, kulturna i ekološka pitanja i rizike. Strategija se odnosi i utječe na širu politiku i djelovanje održivog </w:t>
            </w:r>
            <w:r>
              <w:rPr>
                <w:rFonts w:ascii="Times New Roman" w:eastAsia="Times New Roman" w:hAnsi="Times New Roman" w:cs="Times New Roman"/>
                <w:kern w:val="0"/>
                <w:sz w:val="20"/>
                <w:szCs w:val="20"/>
                <w:lang w:eastAsia="hr-HR"/>
                <w14:ligatures w14:val="none"/>
              </w:rPr>
              <w:lastRenderedPageBreak/>
              <w:t>razvoja u destinaciji. Doprinos strateških ciljeva održivog turizma Hrvatske ciljevima programa Ujedinjenih naroda za održivi razvoj 2030. uključuje sljedeće smjernice: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cjelogodišnji i regionalno uravnoteženiji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konkurentan i inovativan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otporan turizam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objavljeni dokument koji utvrđuje trenutnu strategiju odredišta i djelovanje.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strategija/plan jasno vidljiva i dostupna online.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dokazi o uključivanju dionika u izradu strategija. strategija sadrži procjenu utjecaja, rizika i prilika povezanih s okolišnim, društvenim i upravljačkim temama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specifične reference u strategiji/akcijskom planu na širu politiku održivog razvoja (uključujući postizanje ciljeva održivog razvoja), i obrnuto.</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Strategija/plan izrađen i javno dostupan – Dostupan / Nije dostupan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Dokaz o održanim sastancima i sadržaju strategija u skladu s ciljevima – Zadovoljava / Ne zadovoljava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Strategije i akcijski planovi sadrže jasno iskazana načela održivosti i procjena imovine, problema i rizika –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3. Turistička zajednica /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Podaci su dostupni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097"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6097"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097"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70"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Ne analizira se detaljno sadržaj strategije i akcijskog plana već samo da li ga destinacija posjeduje ili ne, te da li zadovoljava obvezne smjernice – strateške ciljeve održivog turizma </w:t>
            </w:r>
            <w:r>
              <w:rPr>
                <w:rFonts w:ascii="Times New Roman" w:eastAsia="Times New Roman" w:hAnsi="Times New Roman" w:cs="Times New Roman"/>
                <w:kern w:val="0"/>
                <w:sz w:val="20"/>
                <w:szCs w:val="20"/>
                <w:lang w:eastAsia="hr-HR"/>
                <w14:ligatures w14:val="none"/>
              </w:rPr>
              <w:lastRenderedPageBreak/>
              <w:t>Hrvatske (cjelogodišnji i regionalno uravnoteženiji turizam; turizam uz očuvan okoliš, prostor i klimu; konkurentan i inovativan turizam; otporan turizam)</w:t>
            </w:r>
          </w:p>
        </w:tc>
      </w:tr>
      <w:tr w:rsidR="00702E3C">
        <w:tc>
          <w:tcPr>
            <w:tcW w:w="6097"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Početna vrijednost 2025.</w:t>
            </w:r>
          </w:p>
        </w:tc>
        <w:tc>
          <w:tcPr>
            <w:tcW w:w="202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1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09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Provodi se</w:t>
            </w:r>
          </w:p>
        </w:tc>
        <w:tc>
          <w:tcPr>
            <w:tcW w:w="202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17"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15"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4B1C83">
      <w:pPr>
        <w:pStyle w:val="Naslov2"/>
        <w:numPr>
          <w:ilvl w:val="1"/>
          <w:numId w:val="23"/>
        </w:numPr>
        <w:rPr>
          <w:rFonts w:ascii="Times New Roman" w:eastAsia="Times New Roman" w:hAnsi="Times New Roman" w:cs="Times New Roman"/>
          <w:lang w:eastAsia="hr-HR"/>
        </w:rPr>
      </w:pPr>
      <w:bookmarkStart w:id="113" w:name="_Toc217040741"/>
      <w:r>
        <w:rPr>
          <w:rFonts w:ascii="Times New Roman" w:eastAsia="Times New Roman" w:hAnsi="Times New Roman" w:cs="Times New Roman"/>
          <w:lang w:eastAsia="hr-HR"/>
        </w:rPr>
        <w:t>Održivo upravljanje prostorom</w:t>
      </w:r>
      <w:bookmarkEnd w:id="113"/>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19"/>
        <w:gridCol w:w="3082"/>
        <w:gridCol w:w="3047"/>
        <w:gridCol w:w="2009"/>
        <w:gridCol w:w="2006"/>
        <w:gridCol w:w="2004"/>
      </w:tblGrid>
      <w:tr w:rsidR="00702E3C">
        <w:tc>
          <w:tcPr>
            <w:tcW w:w="2018"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49"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Broj kuća i stanova za odmor na 100 objekata u kojima se stalno živi (SOUP-1)</w:t>
            </w:r>
          </w:p>
        </w:tc>
      </w:tr>
      <w:tr w:rsidR="00702E3C">
        <w:tc>
          <w:tcPr>
            <w:tcW w:w="2018"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ETIS – Broj kuća i stanova za odmor na 100 objekata za stalno stanovanje (prilagođeno)</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destinacijom, održivo upravljanje prostorom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SDG-ovima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 Održivi gradovi i zajednice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Cjelogodišnji i regionalno uravnoteženiji turizam;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1. Razvoj vremenski i prostorno ravnomjernije raspoređenog turističkog prometa; 3.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Pokazateljem se definira odnos između broja kuća i stanova za odmor i broja stalnih stambenih objekata u destinaciji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Veliki broj nekretnina koji služe kao kuće i stanovi za odmor može promijeniti prirodu destinacije, naročito kada broj kuća i stanova za odmor preraste broj objekata za stalno stanovanje. Zbog toga ovaj indikator može pomoći prepoznavanju tog fenomena prije nego što postane problem.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Broj kuća i stanova za odmor</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Broj objekata u kojima se stalno živi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Stambeni objekt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Stambeni objekt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 potencijalni izvor</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Podaci JLS o broju stambenih objekata koji se koriste za odmor, podaci institucija (npr. Porezna uprava) koje provode naplatu poreza na kuće za odmor /DZS popis kućanstava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Podaci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Dostupno (u JLS koje prikupljaju porez na kuće za odmor /DZS)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Dostupno</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308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Godišnje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Godišnje</w:t>
            </w:r>
          </w:p>
        </w:tc>
      </w:tr>
      <w:tr w:rsidR="00702E3C">
        <w:tc>
          <w:tcPr>
            <w:tcW w:w="5100"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A – </w:t>
            </w:r>
            <w:r>
              <w:rPr>
                <w:rFonts w:ascii="Times New Roman" w:eastAsia="Times New Roman" w:hAnsi="Times New Roman" w:cs="Times New Roman"/>
                <w:kern w:val="0"/>
                <w:sz w:val="20"/>
                <w:szCs w:val="20"/>
                <w:lang w:eastAsia="hr-HR"/>
                <w14:ligatures w14:val="none"/>
              </w:rPr>
              <w:t>broj kuća i stanova za odmor u destinaciji. U jedinicama lokalne samouprave koje ne prikupljaju porez na kuće za odmor ovaj podatak ne mora biti poznat.</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B – </w:t>
            </w:r>
            <w:r>
              <w:rPr>
                <w:rFonts w:ascii="Times New Roman" w:eastAsia="Times New Roman" w:hAnsi="Times New Roman" w:cs="Times New Roman"/>
                <w:kern w:val="0"/>
                <w:sz w:val="20"/>
                <w:szCs w:val="20"/>
                <w:lang w:eastAsia="hr-HR"/>
                <w14:ligatures w14:val="none"/>
              </w:rPr>
              <w:t>broj objekata koji se koriste za stalno stanovanje (uključujući i objekte za dugotrajni najam)</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i/>
                <w:iCs/>
                <w:kern w:val="0"/>
                <w:sz w:val="20"/>
                <w:szCs w:val="20"/>
                <w:lang w:eastAsia="hr-HR"/>
                <w14:ligatures w14:val="none"/>
              </w:rPr>
              <w:t>C – </w:t>
            </w:r>
            <w:r>
              <w:rPr>
                <w:rFonts w:ascii="Times New Roman" w:eastAsia="Times New Roman" w:hAnsi="Times New Roman" w:cs="Times New Roman"/>
                <w:kern w:val="0"/>
                <w:sz w:val="20"/>
                <w:szCs w:val="20"/>
                <w:lang w:eastAsia="hr-HR"/>
                <w14:ligatures w14:val="none"/>
              </w:rPr>
              <w:t>broj kuća i stanova za odmor na 100 objekata u kojima se stalno živi,</w:t>
            </w:r>
          </w:p>
          <w:p w:rsidR="00702E3C" w:rsidRDefault="004B1C83">
            <w:pPr>
              <w:spacing w:after="0" w:line="240" w:lineRule="auto"/>
              <w:textAlignment w:val="baseline"/>
              <w:rPr>
                <w:rFonts w:ascii="Times New Roman" w:eastAsia="Times New Roman" w:hAnsi="Times New Roman" w:cs="Times New Roman"/>
                <w:kern w:val="0"/>
                <w:sz w:val="20"/>
                <w:szCs w:val="20"/>
                <w:lang w:eastAsia="hr-HR"/>
                <w14:ligatures w14:val="none"/>
              </w:rPr>
            </w:pPr>
            <m:oMathPara>
              <m:oMath>
                <m:r>
                  <w:rPr>
                    <w:rFonts w:ascii="Cambria Math" w:eastAsia="Times New Roman" w:hAnsi="Cambria Math" w:cs="Times New Roman"/>
                    <w:kern w:val="0"/>
                    <w:sz w:val="20"/>
                    <w:szCs w:val="20"/>
                    <w:lang w:eastAsia="hr-HR"/>
                    <w14:ligatures w14:val="none"/>
                  </w:rPr>
                  <m:t>C=</m:t>
                </m:r>
                <m:f>
                  <m:fPr>
                    <m:ctrlPr>
                      <w:rPr>
                        <w:rFonts w:ascii="Cambria Math" w:eastAsia="Times New Roman" w:hAnsi="Cambria Math" w:cs="Times New Roman"/>
                        <w:i/>
                        <w:kern w:val="0"/>
                        <w:sz w:val="20"/>
                        <w:szCs w:val="20"/>
                        <w:lang w:eastAsia="hr-HR"/>
                        <w14:ligatures w14:val="none"/>
                      </w:rPr>
                    </m:ctrlPr>
                  </m:fPr>
                  <m:num>
                    <m:r>
                      <w:rPr>
                        <w:rFonts w:ascii="Cambria Math" w:eastAsia="Times New Roman" w:hAnsi="Cambria Math" w:cs="Times New Roman"/>
                        <w:kern w:val="0"/>
                        <w:sz w:val="20"/>
                        <w:szCs w:val="20"/>
                        <w:lang w:eastAsia="hr-HR"/>
                        <w14:ligatures w14:val="none"/>
                      </w:rPr>
                      <m:t>A</m:t>
                    </m:r>
                  </m:num>
                  <m:den>
                    <m:r>
                      <w:rPr>
                        <w:rFonts w:ascii="Cambria Math" w:eastAsia="Times New Roman" w:hAnsi="Cambria Math" w:cs="Times New Roman"/>
                        <w:kern w:val="0"/>
                        <w:sz w:val="20"/>
                        <w:szCs w:val="20"/>
                        <w:lang w:eastAsia="hr-HR"/>
                        <w14:ligatures w14:val="none"/>
                      </w:rPr>
                      <m:t>B</m:t>
                    </m:r>
                  </m:den>
                </m:f>
                <m:r>
                  <w:rPr>
                    <w:rFonts w:ascii="Cambria Math" w:eastAsia="Times New Roman" w:hAnsi="Cambria Math" w:cs="Times New Roman"/>
                    <w:kern w:val="0"/>
                    <w:sz w:val="20"/>
                    <w:szCs w:val="20"/>
                    <w:lang w:eastAsia="hr-HR"/>
                    <w14:ligatures w14:val="none"/>
                  </w:rPr>
                  <m:t xml:space="preserve"> ×100</m:t>
                </m:r>
              </m:oMath>
            </m:oMathPara>
          </w:p>
          <w:p w:rsidR="00702E3C" w:rsidRDefault="00702E3C">
            <w:pPr>
              <w:spacing w:after="0" w:line="240" w:lineRule="auto"/>
              <w:textAlignment w:val="baseline"/>
              <w:rPr>
                <w:rFonts w:ascii="Times New Roman" w:eastAsia="Times New Roman" w:hAnsi="Times New Roman" w:cs="Times New Roman"/>
                <w:kern w:val="0"/>
                <w:sz w:val="20"/>
                <w:szCs w:val="20"/>
                <w:lang w:eastAsia="hr-HR"/>
                <w14:ligatures w14:val="none"/>
              </w:rPr>
            </w:pPr>
          </w:p>
        </w:tc>
      </w:tr>
      <w:tr w:rsidR="00702E3C">
        <w:tc>
          <w:tcPr>
            <w:tcW w:w="5100"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 jedinicama lokalne samouprave koje prikupljaju porez na kuće za odmor – svake godine. U ostalim jedinicama lokalne samouprave – svake tri godine.</w:t>
            </w:r>
          </w:p>
        </w:tc>
      </w:tr>
      <w:tr w:rsidR="00702E3C">
        <w:tc>
          <w:tcPr>
            <w:tcW w:w="5100"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9067"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Umjesto broja stambenih objekata koji se koriste za odmor (kuće i stanovi za odmor) i za stalno stanovanje, bilo bi bolje uzeti u obzir površinu objekata. Podaci o površini objekata koji se koriste za odmor su dostupni jer se na osnovu njih izračunava porez, a isto tako bi trebali biti poznati podaci i o površini objekata koji se koriste za stalno stanovanje jer se podaci o površini koriste za izračun raznih naknada (ovisno o JLS: npr. komunalna naknada, vodoprivredna naknada, naknada za odvoz smeća i slično). U kuće i stanove za odmor treba uvrstiti sve takve objekte, bez obzira da li se koriste u komercijalne svrhe tijekom godine.</w:t>
            </w:r>
          </w:p>
        </w:tc>
      </w:tr>
      <w:tr w:rsidR="00702E3C">
        <w:tc>
          <w:tcPr>
            <w:tcW w:w="5100"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30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0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0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100"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132,44% (Ukupno kuća 2.250; za stalno stanovanje 968; vikend kuće 1282)</w:t>
            </w:r>
          </w:p>
        </w:tc>
        <w:tc>
          <w:tcPr>
            <w:tcW w:w="304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9"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6"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0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pacing w:after="0" w:line="240" w:lineRule="auto"/>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lastRenderedPageBreak/>
        <w:br/>
      </w: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p>
    <w:tbl>
      <w:tblPr>
        <w:tblW w:w="14309" w:type="dxa"/>
        <w:shd w:val="clear" w:color="auto" w:fill="FFFFFF"/>
        <w:tblCellMar>
          <w:left w:w="0" w:type="dxa"/>
          <w:right w:w="0" w:type="dxa"/>
        </w:tblCellMar>
        <w:tblLook w:val="04A0" w:firstRow="1" w:lastRow="0" w:firstColumn="1" w:lastColumn="0" w:noHBand="0" w:noVBand="1"/>
      </w:tblPr>
      <w:tblGrid>
        <w:gridCol w:w="2003"/>
        <w:gridCol w:w="4090"/>
        <w:gridCol w:w="8216"/>
      </w:tblGrid>
      <w:tr w:rsidR="00702E3C">
        <w:tc>
          <w:tcPr>
            <w:tcW w:w="1967"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342"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Smjernice, propisi i/ili politike koje se odnose na održivo korištenje prostora (SOUP-2)</w:t>
            </w:r>
          </w:p>
        </w:tc>
      </w:tr>
      <w:tr w:rsidR="00702E3C">
        <w:tc>
          <w:tcPr>
            <w:tcW w:w="1967"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398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Smjernice, propisi i/ili politike koje se odnose na održivo korištenje zemljišta, dizajn, izgradnju i rušenje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prostorom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Smjernice, propisi i politike za održivo korištenje prostora ključni su za razvoj održivih urbanih područja, s posebnim naglaskom na balansiranje urbanog razvoja s očuvanjem okoliša.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15: Život na zemlji – Ove smjernice i politike doprinose zaštiti i očuvanju prirodnih staništa, vitalno važnih za održavanje biološke raznolikosti i ekosustava.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17: Partnerstva za ciljeve – Uspostavljanje i provedba ovih politika zahtijeva suradnju između različitih dionika, uključujući vladine, nevladine organizacije i privatni sektor.</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službeni dokument koji uključuje pravila i smjernice koje reguliraju korištenje zemljišta i resursa na način koji štiti i čuva okoliš i prirodne resurse.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Ove smjernice/propisi/strategije osiguravaju da se prostor koristi na način koji smanjuje negativni utjecaj na okoliš i promiče održivost. Uključuju aspekte poput urbanog planiranja, zaštite prirodnih staništa i ograničenja u korištenju zemljišta. Cilj je postići ravnotežu između razvojnih potreba i zaštite prirodnih resursa za buduće generacije.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(opcinalno)</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Objavljeni dokument strategije održivog korištenja prostora (zasebno ili kao dio sveobuhvatnije strategije, npr. Strategije održivog razvoja destinacije i sl.).</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Smjernice vezano za održivog korištenje prostora su jasno sadržane u strateškim razvojnim dokumentima.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Strategija održivog korištenja prostora je izrađena i javno dostupna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Smjernice / politike za održivo korištenje prostora su sadržane u strateškom razvojnom dokumentu –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Razvijena strategija Razvijene smjernice/ politike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JLS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 2. Svake četiri godine</w:t>
            </w:r>
          </w:p>
        </w:tc>
      </w:tr>
      <w:tr w:rsidR="00702E3C">
        <w:tc>
          <w:tcPr>
            <w:tcW w:w="5954"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Kvalitativni pokazatelj</w:t>
            </w:r>
          </w:p>
        </w:tc>
      </w:tr>
      <w:tr w:rsidR="00702E3C">
        <w:tc>
          <w:tcPr>
            <w:tcW w:w="5954"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četiri godine</w:t>
            </w:r>
          </w:p>
        </w:tc>
      </w:tr>
      <w:tr w:rsidR="00702E3C">
        <w:tc>
          <w:tcPr>
            <w:tcW w:w="5954"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ne sadrži podatke o poteškoćama u primjeni i nadzoru smjernica i propisa, posebno u raznolikim i dinamičnim urbanim okruženjima.: Potreba za redovitim ažuriranjem smjernica kako bi se prilagodile promjenjivim okolišnim i društvenim uvjetima.</w:t>
            </w:r>
          </w:p>
        </w:tc>
      </w:tr>
      <w:tr w:rsidR="00702E3C">
        <w:tc>
          <w:tcPr>
            <w:tcW w:w="5954"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954"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Prostorni plan Općine Sali</w:t>
            </w:r>
          </w:p>
        </w:tc>
        <w:tc>
          <w:tcPr>
            <w:tcW w:w="835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tbl>
      <w:tblPr>
        <w:tblW w:w="14309" w:type="dxa"/>
        <w:shd w:val="clear" w:color="auto" w:fill="FFFFFF"/>
        <w:tblCellMar>
          <w:left w:w="0" w:type="dxa"/>
          <w:right w:w="0" w:type="dxa"/>
        </w:tblCellMar>
        <w:tblLook w:val="04A0" w:firstRow="1" w:lastRow="0" w:firstColumn="1" w:lastColumn="0" w:noHBand="0" w:noVBand="1"/>
      </w:tblPr>
      <w:tblGrid>
        <w:gridCol w:w="2019"/>
        <w:gridCol w:w="4138"/>
        <w:gridCol w:w="2718"/>
        <w:gridCol w:w="2717"/>
        <w:gridCol w:w="2717"/>
      </w:tblGrid>
      <w:tr w:rsidR="00702E3C">
        <w:tc>
          <w:tcPr>
            <w:tcW w:w="2017"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292" w:type="dxa"/>
            <w:gridSpan w:val="4"/>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Razvijen i implementiran sustav praćenja i ublažavanja utjecaja turizma na atrakcije (SOUP-3)</w:t>
            </w:r>
          </w:p>
        </w:tc>
      </w:tr>
      <w:tr w:rsidR="00702E3C">
        <w:tc>
          <w:tcPr>
            <w:tcW w:w="2017"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Povezanost pokazatelja sa sustavima</w:t>
            </w:r>
          </w:p>
        </w:tc>
        <w:tc>
          <w:tcPr>
            <w:tcW w:w="413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Sustav upravljanja za praćenje, mjerenje i ublažavanje utjecaja turizma na lokalitete i atrakcije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prostorom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Ovaj cilj se fokusira na minimiziranje negativnih učinaka turizma na urbana i ruralna područja, štiteći njihovu održivost i privlačnost.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12 (Odgovorna potrošnja i proizvodnja): Praćenje i ublažavanje utjecaja turizma pomaže u promicanju održivih praksi u turističkoj industriji.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15 (Život na zemlji): Sustav praćenja i ublažavanja pomaže u zaštiti prirodnih staništa i biološke raznolikosti od negativnih utjecaja turizma.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skup mjera i procesa koji su usmjereni na identifikaciju, praćenje i smanjenje negativnih učinaka turističkih aktivnosti na prirodne i kulturne atrakcije.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Sustav uključuje redovito praćenje broja posjetitelja, utjecaja na okoliš, infrastrukturu i lokalnu zajednicu. Cilj je razviti strategije koje omogućuju održiv turizam, štiteći atrakcije od prekomjerne eksploatacije. Implementacija takvog sustava zahtijeva suradnju između tijela zaduženih za upravljanje razvojem turizma i destinacijom, javnih tijela i lokalnih zajednica.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Razvijen i implementiran sustav za praćenje utjecaja turizma na atrakcije s jasno definiranim aktivnostima i nadležnostima.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Razvijen sustav pokazatelja za praćenje utjecaja turizma na atrakcije uz referentne vrijednosti (primjerice kroz studije prihvatnog kapaciteta)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Definirana obveza prikupljanja podataka vezano za pokazatelje utjecaja turizma na atrakcije uz godišnju analizu i izradu izvještaja.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Uspostavljen sustav za praćenje utjecaja turizma na atrakcije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Definirani pokazatelji s mjernim jedinicama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Kreirani izvještaji o provedenim mjerenjima –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Razvijen plan</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Razvijeni pokazatelji</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Pripremljen izvještaj</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JLS / TZ</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JLS / TZ</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JLS / TZ</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3. Podatak je dostupan</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Jednom godišnje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Jednom godišnje</w:t>
            </w:r>
          </w:p>
        </w:tc>
      </w:tr>
      <w:tr w:rsidR="00702E3C">
        <w:tc>
          <w:tcPr>
            <w:tcW w:w="6147"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Kvalitativni pokazatelj</w:t>
            </w:r>
          </w:p>
        </w:tc>
      </w:tr>
      <w:tr w:rsidR="00702E3C">
        <w:tc>
          <w:tcPr>
            <w:tcW w:w="6147"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dvije godine</w:t>
            </w:r>
          </w:p>
        </w:tc>
      </w:tr>
      <w:tr w:rsidR="00702E3C">
        <w:tc>
          <w:tcPr>
            <w:tcW w:w="6147"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162"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Kroz pokazatelj je definirano postojanje sustava, ali ne i njegova uspješnost u provedbi.</w:t>
            </w:r>
          </w:p>
        </w:tc>
      </w:tr>
      <w:tr w:rsidR="00702E3C">
        <w:tc>
          <w:tcPr>
            <w:tcW w:w="61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72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c>
          <w:tcPr>
            <w:tcW w:w="272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2031</w:t>
            </w:r>
          </w:p>
        </w:tc>
      </w:tr>
      <w:tr w:rsidR="00702E3C">
        <w:tc>
          <w:tcPr>
            <w:tcW w:w="6147"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it-IT" w:eastAsia="hr-HR"/>
                <w14:ligatures w14:val="none"/>
              </w:rPr>
            </w:pPr>
            <w:r>
              <w:rPr>
                <w:rFonts w:ascii="Times New Roman" w:eastAsia="Times New Roman" w:hAnsi="Times New Roman" w:cs="Times New Roman"/>
                <w:b/>
                <w:bCs/>
                <w:kern w:val="0"/>
                <w:sz w:val="20"/>
                <w:szCs w:val="20"/>
                <w:lang w:val="it-IT" w:eastAsia="hr-HR"/>
                <w14:ligatures w14:val="none"/>
              </w:rPr>
              <w:t>DA, kroz PU zaštićenih prostora i POT Telašćice i Dugog otoka</w:t>
            </w:r>
          </w:p>
        </w:tc>
        <w:tc>
          <w:tcPr>
            <w:tcW w:w="272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2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721"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4B1C83">
      <w:pPr>
        <w:shd w:val="clear" w:color="auto" w:fill="FFFFFF"/>
        <w:spacing w:after="0" w:line="240" w:lineRule="auto"/>
        <w:ind w:firstLine="408"/>
        <w:textAlignment w:val="baseline"/>
        <w:rPr>
          <w:rFonts w:ascii="Times New Roman" w:eastAsia="Times New Roman" w:hAnsi="Times New Roman" w:cs="Times New Roman"/>
          <w:kern w:val="0"/>
          <w:sz w:val="24"/>
          <w:szCs w:val="24"/>
          <w:lang w:eastAsia="hr-HR"/>
          <w14:ligatures w14:val="none"/>
        </w:rPr>
      </w:pPr>
      <w:r>
        <w:rPr>
          <w:rFonts w:ascii="Times New Roman" w:eastAsia="Times New Roman" w:hAnsi="Times New Roman" w:cs="Times New Roman"/>
          <w:kern w:val="0"/>
          <w:sz w:val="24"/>
          <w:szCs w:val="24"/>
          <w:lang w:eastAsia="hr-HR"/>
          <w14:ligatures w14:val="none"/>
        </w:rPr>
        <w:br/>
      </w:r>
    </w:p>
    <w:tbl>
      <w:tblPr>
        <w:tblW w:w="14167" w:type="dxa"/>
        <w:shd w:val="clear" w:color="auto" w:fill="FFFFFF"/>
        <w:tblCellMar>
          <w:left w:w="0" w:type="dxa"/>
          <w:right w:w="0" w:type="dxa"/>
        </w:tblCellMar>
        <w:tblLook w:val="04A0" w:firstRow="1" w:lastRow="0" w:firstColumn="1" w:lastColumn="0" w:noHBand="0" w:noVBand="1"/>
      </w:tblPr>
      <w:tblGrid>
        <w:gridCol w:w="2014"/>
        <w:gridCol w:w="4129"/>
        <w:gridCol w:w="2011"/>
        <w:gridCol w:w="2005"/>
        <w:gridCol w:w="2004"/>
        <w:gridCol w:w="2004"/>
      </w:tblGrid>
      <w:tr w:rsidR="00702E3C">
        <w:tc>
          <w:tcPr>
            <w:tcW w:w="2007"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60" w:type="dxa"/>
            <w:gridSpan w:val="5"/>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Izrađene i implementirane smjernice upravljanja prostorom sa ciljem zaštite resursa (SOUP-4)</w:t>
            </w:r>
          </w:p>
        </w:tc>
      </w:tr>
      <w:tr w:rsidR="00702E3C">
        <w:tc>
          <w:tcPr>
            <w:tcW w:w="2007"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10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Smjernice planiranja ili zoniranja, propisi i/ili politike kojima se štite prirodni i kulturni resursi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prostorom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Smjernice upravljanja prostorom za zaštitu resursa ključne su za održivi urbani razvoj, pomažući u očuvanju okoliša i resursa unutar gradova i zajednica.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Cilj 15: Život na zemlji – Implementacija ovih smjernica doprinosi očuvanju prirodnih staništa i biološke raznolikosti, što je ključno za održavanje ekosustava.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17: Partnerstva za ciljeve – Razvoj i provedba takvih smjernica zahtijevaju suradnju između različitih dionika, uključujući vladine i nevladine organizacije, za postizanje održivog upravljanja resursima.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Otporan turizam; Turizam uz očuvan okoliš, prostor i klimu</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Poseban cilj: 9. Uspostavljanje učinkovitog okvira za upravljanje razvojem održivog turizma, 3. Smanjenje negativnog utjecaja turizma na sastavnice okoliša prirodu i prostor</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razvijene i primijenjene politike i pravila koja reguliraju korištenje prostora i resursa u turističkim destinacijama kako bi se osigurala njihova održiva uporaba i zaštita.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Smjernice obuhvaćaju planiranje korištenja zemljišta (prostorni plan), zaštitu okoliša Strateška procjena utjecaja na okoliš), i očuvanje prirodnih i kulturnih resursa (urbanistički plan). Cilj je uravnotežiti razvoj turizma s očuvanjem ekosustava i resursa, te osigurati održivost za buduće generacije. Implementacija ovih smjernica zahtijeva koordinaciju i suradnju među lokalnim vlastima, dionicima u sektoru turizma i lokalnom zajednicom.</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(opcionalno)</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Izrađen i javno dostupan prostorni plan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Izrađen i javno dostupan urbanistički plan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Izrađen i javno dostupan strateška procjena utjecaja na okoliš – DA/NE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Objavljen dokument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Objavljen dokument</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Objavljen dokument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JLS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JLS</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3. podatci su dostupni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3. Jednom godišnje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4. Jednom godišnje</w:t>
            </w:r>
          </w:p>
        </w:tc>
      </w:tr>
      <w:tr w:rsidR="00702E3C">
        <w:tc>
          <w:tcPr>
            <w:tcW w:w="6108"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Kvalitativni pokazatelj</w:t>
            </w:r>
          </w:p>
        </w:tc>
      </w:tr>
      <w:tr w:rsidR="00702E3C">
        <w:tc>
          <w:tcPr>
            <w:tcW w:w="6108"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Jednom godišnje</w:t>
            </w:r>
          </w:p>
        </w:tc>
      </w:tr>
      <w:tr w:rsidR="00702E3C">
        <w:tc>
          <w:tcPr>
            <w:tcW w:w="6108"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Ograničenja pokazatelja i perspektive</w:t>
            </w:r>
          </w:p>
        </w:tc>
        <w:tc>
          <w:tcPr>
            <w:tcW w:w="8059"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fokusiran na postojanje dokumenta, no ne i na kvalitetu njegove implementacije i nadzora, te je prijedlog gdje je moguće pratiti i pokazatelje provedbe primjerice namjene zemljišta, kis-a i kig-a i slično.</w:t>
            </w:r>
          </w:p>
        </w:tc>
      </w:tr>
      <w:tr w:rsidR="00702E3C">
        <w:tc>
          <w:tcPr>
            <w:tcW w:w="6108"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201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2026</w:t>
            </w: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2027</w:t>
            </w: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2028</w:t>
            </w: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4B1C83">
            <w:pPr>
              <w:spacing w:after="0" w:line="240" w:lineRule="auto"/>
              <w:jc w:val="center"/>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6108"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it-IT" w:eastAsia="hr-HR"/>
                <w14:ligatures w14:val="none"/>
              </w:rPr>
            </w:pPr>
            <w:r>
              <w:rPr>
                <w:rFonts w:ascii="Times New Roman" w:eastAsia="Times New Roman" w:hAnsi="Times New Roman" w:cs="Times New Roman"/>
                <w:b/>
                <w:bCs/>
                <w:kern w:val="0"/>
                <w:sz w:val="20"/>
                <w:szCs w:val="20"/>
                <w:lang w:val="it-IT" w:eastAsia="hr-HR"/>
                <w14:ligatures w14:val="none"/>
              </w:rPr>
              <w:t>DA, kroz PU zaštićenih prostora i POT Telašćice i Dugog otoka</w:t>
            </w:r>
          </w:p>
        </w:tc>
        <w:tc>
          <w:tcPr>
            <w:tcW w:w="201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14"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2013" w:type="dxa"/>
            <w:tcBorders>
              <w:top w:val="single" w:sz="6" w:space="0" w:color="auto"/>
              <w:left w:val="single" w:sz="6" w:space="0" w:color="auto"/>
              <w:bottom w:val="single" w:sz="6" w:space="0" w:color="auto"/>
              <w:right w:val="single" w:sz="6" w:space="0" w:color="auto"/>
            </w:tcBorders>
            <w:shd w:val="clear" w:color="auto" w:fill="FFFFFF"/>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after="0" w:line="240" w:lineRule="auto"/>
        <w:rPr>
          <w:rFonts w:ascii="Times New Roman" w:eastAsia="Times New Roman" w:hAnsi="Times New Roman" w:cs="Times New Roman"/>
          <w:kern w:val="0"/>
          <w:sz w:val="24"/>
          <w:szCs w:val="24"/>
          <w:lang w:eastAsia="hr-HR"/>
          <w14:ligatures w14:val="none"/>
        </w:rPr>
      </w:pPr>
    </w:p>
    <w:p w:rsidR="00702E3C" w:rsidRDefault="00702E3C">
      <w:pPr>
        <w:shd w:val="clear" w:color="auto" w:fill="FFFFFF"/>
        <w:spacing w:after="0" w:line="240" w:lineRule="auto"/>
        <w:textAlignment w:val="baseline"/>
        <w:rPr>
          <w:rFonts w:ascii="Times New Roman" w:eastAsia="Times New Roman" w:hAnsi="Times New Roman" w:cs="Times New Roman"/>
          <w:kern w:val="0"/>
          <w:sz w:val="24"/>
          <w:szCs w:val="24"/>
          <w:lang w:eastAsia="hr-HR"/>
          <w14:ligatures w14:val="none"/>
        </w:rPr>
      </w:pPr>
    </w:p>
    <w:tbl>
      <w:tblPr>
        <w:tblW w:w="14167" w:type="dxa"/>
        <w:shd w:val="clear" w:color="auto" w:fill="FFFFFF"/>
        <w:tblCellMar>
          <w:left w:w="0" w:type="dxa"/>
          <w:right w:w="0" w:type="dxa"/>
        </w:tblCellMar>
        <w:tblLook w:val="04A0" w:firstRow="1" w:lastRow="0" w:firstColumn="1" w:lastColumn="0" w:noHBand="0" w:noVBand="1"/>
      </w:tblPr>
      <w:tblGrid>
        <w:gridCol w:w="2006"/>
        <w:gridCol w:w="4101"/>
        <w:gridCol w:w="8060"/>
      </w:tblGrid>
      <w:tr w:rsidR="00702E3C">
        <w:tc>
          <w:tcPr>
            <w:tcW w:w="1974" w:type="dxa"/>
            <w:tcBorders>
              <w:top w:val="single" w:sz="6" w:space="0" w:color="auto"/>
              <w:left w:val="single" w:sz="6" w:space="0" w:color="auto"/>
              <w:bottom w:val="single" w:sz="6" w:space="0" w:color="auto"/>
              <w:right w:val="single" w:sz="6" w:space="0" w:color="auto"/>
            </w:tcBorders>
            <w:shd w:val="clear" w:color="auto" w:fill="E9F6D0" w:themeFill="accent1"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Pokazatelj (kod pokazatelja)</w:t>
            </w:r>
          </w:p>
        </w:tc>
        <w:tc>
          <w:tcPr>
            <w:tcW w:w="12193"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pStyle w:val="Odlomakpopisa"/>
              <w:numPr>
                <w:ilvl w:val="2"/>
                <w:numId w:val="23"/>
              </w:num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Procjena pritiska razvoja turizma na kulturnu baštinu (SOUP-5)</w:t>
            </w:r>
          </w:p>
        </w:tc>
      </w:tr>
      <w:tr w:rsidR="00702E3C">
        <w:tc>
          <w:tcPr>
            <w:tcW w:w="1974" w:type="dxa"/>
            <w:vMerge w:val="restart"/>
            <w:tcBorders>
              <w:top w:val="single" w:sz="6" w:space="0" w:color="auto"/>
              <w:left w:val="single" w:sz="6" w:space="0" w:color="auto"/>
              <w:bottom w:val="single" w:sz="6" w:space="0" w:color="auto"/>
              <w:right w:val="single" w:sz="6" w:space="0" w:color="auto"/>
            </w:tcBorders>
            <w:shd w:val="clear" w:color="auto" w:fill="D4ECA1" w:themeFill="accent1"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Povezanost pokazatelja sa sustavima</w:t>
            </w:r>
          </w:p>
        </w:tc>
        <w:tc>
          <w:tcPr>
            <w:tcW w:w="40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w:t>
            </w:r>
            <w:r>
              <w:rPr>
                <w:rFonts w:ascii="Times New Roman" w:eastAsia="Times New Roman" w:hAnsi="Times New Roman" w:cs="Times New Roman"/>
                <w:kern w:val="0"/>
                <w:sz w:val="20"/>
                <w:szCs w:val="20"/>
                <w:lang w:eastAsia="hr-HR"/>
                <w14:ligatures w14:val="none"/>
              </w:rPr>
              <w:softHyphen/>
              <w:t>pokazatelja s međunarodnim sustavima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GSTC – Popis kulturnih dobara uz procjenu ugroženosti</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Zakonom o turizmu</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Članak 14. stavak 2. Zakona o turizmu – Održivo upravljanje prostorom (zaštita kulturne baštine u turizmu)</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Povezanost sa SDG</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11: Održivi gradovi i zajednice – Procjena pritiska razvoja turizma na kulturnu baštinu ključna je za očuvanje kulturnog identiteta i povijesnih lokaliteta, čime se doprinosi održivosti urbanih i ruralnih područja.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15: Život na zemlji – Ova procjena pomaže u zaštiti kulturnih staništa i nasljeđa, što je važno za očuvanje globalne kulturne raznolikosti i identiteta.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17: Partnerstva za ciljeve – Učinkovita procjena i ublažavanje pritiska na kulturnu baštinu zahtijeva suradnju između javnih tijela, turističkog sektora i lokalnih zajednica.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D4ECA1" w:themeFill="accent1" w:themeFillTint="66"/>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xml:space="preserve">Povezanost sa </w:t>
            </w:r>
            <w:r>
              <w:rPr>
                <w:rFonts w:ascii="Times New Roman" w:eastAsia="Times New Roman" w:hAnsi="Times New Roman" w:cs="Times New Roman"/>
                <w:kern w:val="0"/>
                <w:sz w:val="20"/>
                <w:szCs w:val="20"/>
                <w:lang w:eastAsia="hr-HR"/>
                <w14:ligatures w14:val="none"/>
              </w:rPr>
              <w:softHyphen/>
              <w:t>Strategijom i Nacionalnim planom</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Strateški cilj: Turizam uz očuvan okoliš, prostor i klimu; Otporan turizam</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lastRenderedPageBreak/>
              <w:t>Poseban cilj: 3. Smanjenje negativnog utjecaja turizma na sastavnice okoliša prirodu i prostor; 9. Uspostavljanje učinkovitog okvira za upravljanje razvojem održivog turizma</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BFE373" w:themeFill="accent1"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Obilježja pokazatelja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Definicija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Pokazatelj je definiran kao provedena analiza koja daje informaciju o tome kako turističke aktivnosti utječu na očuvanje, integritet i dostupnost kulturnih dobara i povijesnih lokaliteta unutar turističke destinacije.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i svrha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Ovaj pokazatelj mjeri utjecaj turizma na fizičko stanje, očuvanje i prezentaciju kulturne baštine. Uključuje analizu postojećih dokumenata i aktivnosti koja uključuje: provedena inventarizacija baštine, provedena analiza utjecaja razvoja turizma na lokalnu zajednicu, studija utjecaja turizma na kulturnu baštinu, koja obuhvaća integritet kulturne baštine i dostupnost, procjenu utjecaja turističkih aktivnosti (različite razine intenziteta i oblika turizma).</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Cilj je razviti strategije koje će uravnotežiti turistički razvoj s potrebama očuvanja kulturne baštine.</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BFE373" w:themeFill="accent1" w:themeFillTint="99"/>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Podpokazatelji (opcinalno)</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w:t>
            </w:r>
          </w:p>
        </w:tc>
      </w:tr>
      <w:tr w:rsidR="00702E3C">
        <w:tc>
          <w:tcPr>
            <w:tcW w:w="0" w:type="auto"/>
            <w:vMerge w:val="restart"/>
            <w:tcBorders>
              <w:top w:val="single" w:sz="6" w:space="0" w:color="auto"/>
              <w:left w:val="single" w:sz="6" w:space="0" w:color="auto"/>
              <w:bottom w:val="single" w:sz="6" w:space="0" w:color="auto"/>
              <w:right w:val="single" w:sz="6" w:space="0" w:color="auto"/>
            </w:tcBorders>
            <w:shd w:val="clear" w:color="auto" w:fill="6B911C" w:themeFill="accent1" w:themeFillShade="B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Podatci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Naziv podataka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Izrađen dokument –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 Dokument sadrži: inventarizaciju baštine, analizu utjecaja razvoja turizma na lokalnu zajednicu, studiju utjecaja turizma na kulturnu baštinu, koja obuhvaća integritet kulturne baštine i dostupnost, procjenu utjecaja turističkih aktivnosti (različite razine intenziteta i oblika turizma).</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Mjerna jedinica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Kvalitativni pokazatelj</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Izvor podataka/potencijalni izvor</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1. – 2. JLS</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Dostupnost podataka i podatkovni jaz</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 Objavljen i javno dostupan dokument</w:t>
            </w:r>
          </w:p>
        </w:tc>
      </w:tr>
      <w:tr w:rsidR="00702E3C">
        <w:tc>
          <w:tcPr>
            <w:tcW w:w="0" w:type="auto"/>
            <w:vMerge/>
            <w:tcBorders>
              <w:top w:val="single" w:sz="6" w:space="0" w:color="auto"/>
              <w:left w:val="single" w:sz="6" w:space="0" w:color="auto"/>
              <w:bottom w:val="single" w:sz="6" w:space="0" w:color="auto"/>
              <w:right w:val="single" w:sz="6" w:space="0" w:color="auto"/>
            </w:tcBorders>
            <w:shd w:val="clear" w:color="auto" w:fill="6B911C" w:themeFill="accent1" w:themeFillShade="BF"/>
            <w:vAlign w:val="bottom"/>
          </w:tcPr>
          <w:p w:rsidR="00702E3C" w:rsidRDefault="00702E3C">
            <w:pPr>
              <w:spacing w:after="48" w:line="240" w:lineRule="auto"/>
              <w:rPr>
                <w:rFonts w:ascii="Times New Roman" w:eastAsia="Times New Roman" w:hAnsi="Times New Roman" w:cs="Times New Roman"/>
                <w:kern w:val="0"/>
                <w:sz w:val="20"/>
                <w:szCs w:val="20"/>
                <w:lang w:eastAsia="hr-HR"/>
                <w14:ligatures w14:val="none"/>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Periodičnost prikupljanja podataka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Periodično / u procesu izrade analize stanja u sklopu srednjoročnog strateškog dokumenta.</w:t>
            </w:r>
          </w:p>
        </w:tc>
      </w:tr>
      <w:tr w:rsidR="00702E3C">
        <w:tc>
          <w:tcPr>
            <w:tcW w:w="5983" w:type="dxa"/>
            <w:gridSpan w:val="2"/>
            <w:tcBorders>
              <w:top w:val="single" w:sz="6" w:space="0" w:color="auto"/>
              <w:left w:val="single" w:sz="6" w:space="0" w:color="auto"/>
              <w:bottom w:val="single" w:sz="6" w:space="0" w:color="auto"/>
              <w:right w:val="single" w:sz="6" w:space="0" w:color="auto"/>
            </w:tcBorders>
            <w:shd w:val="clear" w:color="auto" w:fill="DAF4CA" w:themeFill="accent2"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Metodologija izračuna pokazatelja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Izrađen dokument DA/NE</w:t>
            </w:r>
          </w:p>
          <w:p w:rsidR="00702E3C" w:rsidRDefault="004B1C83">
            <w:pPr>
              <w:spacing w:after="48" w:line="240" w:lineRule="auto"/>
              <w:textAlignment w:val="baseline"/>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Opis elemenata sadržaja dokumenta</w:t>
            </w:r>
          </w:p>
        </w:tc>
      </w:tr>
      <w:tr w:rsidR="00702E3C">
        <w:tc>
          <w:tcPr>
            <w:tcW w:w="5983" w:type="dxa"/>
            <w:gridSpan w:val="2"/>
            <w:tcBorders>
              <w:top w:val="single" w:sz="6" w:space="0" w:color="auto"/>
              <w:left w:val="single" w:sz="6" w:space="0" w:color="auto"/>
              <w:bottom w:val="single" w:sz="6" w:space="0" w:color="auto"/>
              <w:right w:val="single" w:sz="6" w:space="0" w:color="auto"/>
            </w:tcBorders>
            <w:shd w:val="clear" w:color="auto" w:fill="B7E995" w:themeFill="accent2" w:themeFillTint="66"/>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Učestalost mjerenja</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Svake četiri godine</w:t>
            </w:r>
          </w:p>
        </w:tc>
      </w:tr>
      <w:tr w:rsidR="00702E3C">
        <w:tc>
          <w:tcPr>
            <w:tcW w:w="5983" w:type="dxa"/>
            <w:gridSpan w:val="2"/>
            <w:tcBorders>
              <w:top w:val="single" w:sz="6" w:space="0" w:color="auto"/>
              <w:left w:val="single" w:sz="6" w:space="0" w:color="auto"/>
              <w:bottom w:val="single" w:sz="6" w:space="0" w:color="auto"/>
              <w:right w:val="single" w:sz="6" w:space="0" w:color="auto"/>
            </w:tcBorders>
            <w:shd w:val="clear" w:color="auto" w:fill="93DE61" w:themeFill="accent2" w:themeFillTint="99"/>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lastRenderedPageBreak/>
              <w:t>Ograničenja pokazatelja i perspektive</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Postoje realne poteškoće u objektivnom mjerenju utjecaja turizma na kulturnu baštinu, kao i poteškoće u prikupljanju i analizi potpunih podataka koji odražavaju stvarni utjecaj turizma.</w:t>
            </w:r>
          </w:p>
        </w:tc>
      </w:tr>
      <w:tr w:rsidR="00702E3C">
        <w:tc>
          <w:tcPr>
            <w:tcW w:w="5983" w:type="dxa"/>
            <w:gridSpan w:val="2"/>
            <w:tcBorders>
              <w:top w:val="single" w:sz="6" w:space="0" w:color="auto"/>
              <w:left w:val="single" w:sz="6" w:space="0" w:color="auto"/>
              <w:bottom w:val="single" w:sz="6" w:space="0" w:color="auto"/>
              <w:right w:val="single" w:sz="6" w:space="0" w:color="auto"/>
            </w:tcBorders>
            <w:shd w:val="clear" w:color="auto" w:fill="F8D1CC" w:themeFill="accent5" w:themeFillTint="33"/>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eastAsia="hr-HR"/>
                <w14:ligatures w14:val="none"/>
              </w:rPr>
            </w:pPr>
            <w:r>
              <w:rPr>
                <w:rFonts w:ascii="Times New Roman" w:eastAsia="Times New Roman" w:hAnsi="Times New Roman" w:cs="Times New Roman"/>
                <w:b/>
                <w:bCs/>
                <w:kern w:val="0"/>
                <w:sz w:val="20"/>
                <w:szCs w:val="20"/>
                <w:lang w:eastAsia="hr-HR"/>
                <w14:ligatures w14:val="none"/>
              </w:rPr>
              <w:t>Početna vrijednost 2025.</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kern w:val="0"/>
                <w:sz w:val="20"/>
                <w:szCs w:val="20"/>
                <w:lang w:eastAsia="hr-HR"/>
                <w14:ligatures w14:val="none"/>
              </w:rPr>
            </w:pPr>
            <w:r>
              <w:rPr>
                <w:rFonts w:ascii="Times New Roman" w:eastAsia="Times New Roman" w:hAnsi="Times New Roman" w:cs="Times New Roman"/>
                <w:kern w:val="0"/>
                <w:sz w:val="20"/>
                <w:szCs w:val="20"/>
                <w:lang w:eastAsia="hr-HR"/>
                <w14:ligatures w14:val="none"/>
              </w:rPr>
              <w:t>2029.</w:t>
            </w:r>
          </w:p>
        </w:tc>
      </w:tr>
      <w:tr w:rsidR="00702E3C">
        <w:tc>
          <w:tcPr>
            <w:tcW w:w="598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4B1C83">
            <w:pPr>
              <w:spacing w:after="0" w:line="240" w:lineRule="auto"/>
              <w:rPr>
                <w:rFonts w:ascii="Times New Roman" w:eastAsia="Times New Roman" w:hAnsi="Times New Roman" w:cs="Times New Roman"/>
                <w:b/>
                <w:bCs/>
                <w:kern w:val="0"/>
                <w:sz w:val="20"/>
                <w:szCs w:val="20"/>
                <w:lang w:val="en-US" w:eastAsia="hr-HR"/>
                <w14:ligatures w14:val="none"/>
              </w:rPr>
            </w:pPr>
            <w:r>
              <w:rPr>
                <w:rFonts w:ascii="Times New Roman" w:eastAsia="Times New Roman" w:hAnsi="Times New Roman" w:cs="Times New Roman"/>
                <w:b/>
                <w:bCs/>
                <w:kern w:val="0"/>
                <w:sz w:val="20"/>
                <w:szCs w:val="20"/>
                <w:lang w:val="en-US" w:eastAsia="hr-HR"/>
                <w14:ligatures w14:val="none"/>
              </w:rPr>
              <w:t>Da, POT</w:t>
            </w:r>
          </w:p>
        </w:tc>
        <w:tc>
          <w:tcPr>
            <w:tcW w:w="81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702E3C" w:rsidRDefault="00702E3C">
            <w:pPr>
              <w:spacing w:after="0" w:line="240" w:lineRule="auto"/>
              <w:rPr>
                <w:rFonts w:ascii="Times New Roman" w:eastAsia="Times New Roman" w:hAnsi="Times New Roman" w:cs="Times New Roman"/>
                <w:kern w:val="0"/>
                <w:sz w:val="20"/>
                <w:szCs w:val="20"/>
                <w:lang w:eastAsia="hr-HR"/>
                <w14:ligatures w14:val="none"/>
              </w:rPr>
            </w:pPr>
          </w:p>
        </w:tc>
      </w:tr>
    </w:tbl>
    <w:p w:rsidR="00702E3C" w:rsidRDefault="00702E3C">
      <w:pPr>
        <w:spacing w:line="360" w:lineRule="auto"/>
        <w:jc w:val="both"/>
        <w:rPr>
          <w:rFonts w:ascii="Times New Roman" w:hAnsi="Times New Roman" w:cs="Times New Roman"/>
          <w:sz w:val="18"/>
          <w:szCs w:val="18"/>
        </w:rPr>
      </w:pPr>
    </w:p>
    <w:p w:rsidR="00702E3C" w:rsidRDefault="00702E3C">
      <w:pPr>
        <w:spacing w:line="360" w:lineRule="auto"/>
        <w:jc w:val="both"/>
        <w:rPr>
          <w:rFonts w:ascii="Times New Roman" w:hAnsi="Times New Roman" w:cs="Times New Roman"/>
          <w:sz w:val="18"/>
          <w:szCs w:val="18"/>
        </w:rPr>
      </w:pPr>
    </w:p>
    <w:p w:rsidR="00702E3C" w:rsidRDefault="00702E3C">
      <w:pPr>
        <w:pStyle w:val="Naslov1"/>
        <w:rPr>
          <w:rFonts w:ascii="Times New Roman" w:hAnsi="Times New Roman" w:cs="Times New Roman"/>
          <w:b/>
          <w:bCs/>
        </w:rPr>
        <w:sectPr w:rsidR="00702E3C">
          <w:pgSz w:w="16838" w:h="11906" w:orient="landscape"/>
          <w:pgMar w:top="1417" w:right="1417" w:bottom="1417" w:left="1417" w:header="708" w:footer="708" w:gutter="0"/>
          <w:cols w:space="708"/>
          <w:docGrid w:linePitch="360"/>
        </w:sectPr>
      </w:pPr>
    </w:p>
    <w:p w:rsidR="00702E3C" w:rsidRDefault="004B1C83">
      <w:pPr>
        <w:pStyle w:val="Naslov1"/>
        <w:numPr>
          <w:ilvl w:val="0"/>
          <w:numId w:val="23"/>
        </w:numPr>
        <w:rPr>
          <w:rFonts w:ascii="Times New Roman" w:hAnsi="Times New Roman" w:cs="Times New Roman"/>
          <w:b/>
          <w:bCs/>
        </w:rPr>
      </w:pPr>
      <w:bookmarkStart w:id="114" w:name="_Toc217040742"/>
      <w:r>
        <w:rPr>
          <w:rFonts w:ascii="Times New Roman" w:hAnsi="Times New Roman" w:cs="Times New Roman"/>
          <w:b/>
          <w:bCs/>
        </w:rPr>
        <w:lastRenderedPageBreak/>
        <w:t>RAZVOJNI SMJER S MJERAMA I AKTIVNOSTIMA</w:t>
      </w:r>
      <w:bookmarkEnd w:id="114"/>
    </w:p>
    <w:p w:rsidR="00702E3C" w:rsidRDefault="00702E3C"/>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destinacija Dugi otok, uključujući otoke Zverinac i Lavdaru, raspolaže bogatim prirodnim i kulturnim resursima, ali istodobno se suočava s izazovima karakterističnima za otočne sredine – ograničena dostupnost, sezonalnost, demografska depopulacija i infrastrukturna nepovezanost. Definiranje strateškog razvojnog smjera ključno je za usmjeravanje održivog razvoja destinacije i podizanje kvalitete turističkog doživljaja.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Razvojni smjer temelji se na provedenoj analizi stanja (poglavlje 3.), identifikaciji potencijala (poglavlje 4.) i definiranim ciljevima održivosti (poglavlje 5.). U fokusu je stvaranje uravnoteženog odnosa između gospodarskih, društvenih i okolišnih aspekata turizma. Vizija Dugog otoka i pripadajućih otoka usmjerena je na očuvanje autentičnosti, unapređenje kvalitete života lokalnog stanovništva i razvoj inovativnih, održivih turističkih proizvoda.</w:t>
      </w:r>
    </w:p>
    <w:p w:rsidR="00702E3C" w:rsidRDefault="004B1C83">
      <w:pPr>
        <w:pStyle w:val="Naslov2"/>
        <w:numPr>
          <w:ilvl w:val="1"/>
          <w:numId w:val="23"/>
        </w:numPr>
        <w:rPr>
          <w:rFonts w:ascii="Times New Roman" w:hAnsi="Times New Roman" w:cs="Times New Roman"/>
        </w:rPr>
      </w:pPr>
      <w:bookmarkStart w:id="115" w:name="_Toc217040743"/>
      <w:r>
        <w:rPr>
          <w:rFonts w:ascii="Times New Roman" w:hAnsi="Times New Roman" w:cs="Times New Roman"/>
        </w:rPr>
        <w:lastRenderedPageBreak/>
        <w:t>SWOT analiza</w:t>
      </w:r>
      <w:bookmarkEnd w:id="115"/>
      <w:r>
        <w:rPr>
          <w:rFonts w:ascii="Times New Roman" w:hAnsi="Times New Roman" w:cs="Times New Roman"/>
        </w:rPr>
        <w:t xml:space="preserve"> </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196850</wp:posOffset>
            </wp:positionH>
            <wp:positionV relativeFrom="paragraph">
              <wp:posOffset>1085850</wp:posOffset>
            </wp:positionV>
            <wp:extent cx="5232400" cy="3924300"/>
            <wp:effectExtent l="0" t="0" r="6350" b="0"/>
            <wp:wrapTopAndBottom/>
            <wp:docPr id="428919516" name="Slika 6" descr="Slika na kojoj se prikazuje tekst, snimka zaslona, Font, logotip&#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19516" name="Slika 6" descr="Slika na kojoj se prikazuje tekst, snimka zaslona, Font, logotip&#10;&#10;Sadržaj generiran uz AI možda nije toča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a:graphicData>
            </a:graphic>
          </wp:anchor>
        </w:drawing>
      </w:r>
      <w:r>
        <w:rPr>
          <w:rFonts w:ascii="Times New Roman" w:hAnsi="Times New Roman" w:cs="Times New Roman"/>
          <w:sz w:val="24"/>
          <w:szCs w:val="24"/>
        </w:rPr>
        <w:t>U nastavku je cjelovita SWOT analiza destinacije izrađena na temelju prethodno prikupljenih podataka, stručnih uvida i dostupne dokumentacije:podataka, stručnih uvida i dostupne dokumentacije:</w:t>
      </w:r>
    </w:p>
    <w:p w:rsidR="00702E3C" w:rsidRDefault="004B1C83">
      <w:pPr>
        <w:pStyle w:val="Naslov2"/>
        <w:numPr>
          <w:ilvl w:val="1"/>
          <w:numId w:val="23"/>
        </w:numPr>
        <w:rPr>
          <w:rFonts w:ascii="Times New Roman" w:hAnsi="Times New Roman" w:cs="Times New Roman"/>
        </w:rPr>
      </w:pPr>
      <w:bookmarkStart w:id="116" w:name="_Toc217040744"/>
      <w:r>
        <w:rPr>
          <w:rFonts w:ascii="Times New Roman" w:hAnsi="Times New Roman" w:cs="Times New Roman"/>
        </w:rPr>
        <w:t>Identificiranje općih načela i ciljeva turizma</w:t>
      </w:r>
      <w:bookmarkEnd w:id="116"/>
    </w:p>
    <w:p w:rsidR="00702E3C" w:rsidRDefault="00702E3C">
      <w:pPr>
        <w:spacing w:line="360" w:lineRule="auto"/>
        <w:jc w:val="both"/>
        <w:rPr>
          <w:rFonts w:ascii="Times New Roman" w:hAnsi="Times New Roman" w:cs="Times New Roman"/>
          <w:sz w:val="24"/>
          <w:szCs w:val="24"/>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Turizam predstavlja jednu od ključnih gospodarskih grana destinacije te ima značajnu ulogu u očuvanju lokalne zajednice, aktivaciji resursa te poticanju zapošljavanja i poduzetništva. Međutim, njegov daljnji razvoj mora biti usmjeren na očuvanje prostornih, kulturnih i prirodnih vrijednosti koje čine temelj turističke atraktivnosti.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Razvoj turizma na Dugom otoku, Zverincu i Lavdari stoga se temelji na sljedećim načelima:</w:t>
      </w:r>
    </w:p>
    <w:p w:rsidR="00702E3C" w:rsidRDefault="004B1C83">
      <w:pPr>
        <w:spacing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Načela razvoja turizma:</w:t>
      </w:r>
    </w:p>
    <w:p w:rsidR="00702E3C" w:rsidRDefault="004B1C83">
      <w:pPr>
        <w:pStyle w:val="Odlomakpopisa"/>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Održivost – promicanje turizma koji ne ugrožava prirodne resurse, okoliš i lokalnu kulturu, već ih štiti i valorizira.</w:t>
      </w:r>
    </w:p>
    <w:p w:rsidR="00702E3C" w:rsidRDefault="004B1C83">
      <w:pPr>
        <w:pStyle w:val="Odlomakpopisa"/>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Kvaliteta – težnja prema podizanju razine turističke ponude i usluge, uz očuvanje autentičnosti i izvornosti prostora.</w:t>
      </w:r>
    </w:p>
    <w:p w:rsidR="00702E3C" w:rsidRDefault="004B1C83">
      <w:pPr>
        <w:pStyle w:val="Odlomakpopisa"/>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Pristupačnost – razvijanje destinacije dostupne svim skupinama posjetitelja, uključujući osobe s invaliditetom i druge ranjive skupine.</w:t>
      </w:r>
    </w:p>
    <w:p w:rsidR="00702E3C" w:rsidRDefault="004B1C83">
      <w:pPr>
        <w:pStyle w:val="Odlomakpopisa"/>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Zadovoljstvo – osiguranje visokog stupnja zadovoljstva svih korisnika: posjetitelja, lokalnog stanovništva i pružatelja usluga.</w:t>
      </w:r>
    </w:p>
    <w:p w:rsidR="00702E3C" w:rsidRDefault="004B1C83">
      <w:pPr>
        <w:pStyle w:val="Odlomakpopisa"/>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Sigurnost – jačanje svih oblika sigurnosti za turiste i stanovništvo, s naglaskom na zaštitu zdravlja, imovine i okoliša.</w:t>
      </w:r>
    </w:p>
    <w:p w:rsidR="00702E3C" w:rsidRDefault="004B1C83">
      <w:pPr>
        <w:spacing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Ciljevi razvoja turizma:</w:t>
      </w:r>
    </w:p>
    <w:p w:rsidR="00702E3C" w:rsidRDefault="004B1C83">
      <w:pPr>
        <w:pStyle w:val="Odlomakpopis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Ekonomski – poticanje održivog ekonomskog rasta kroz razvoj malog poduzetništva, produljenje sezone i diversifikaciju ponude.</w:t>
      </w:r>
    </w:p>
    <w:p w:rsidR="00702E3C" w:rsidRDefault="004B1C83">
      <w:pPr>
        <w:pStyle w:val="Odlomakpopis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Kulturološki – očuvanje i interpretacija lokalne baštine, tradicije i identiteta u svrhu stvaranja prepoznatljive i autentične destinacije.</w:t>
      </w:r>
    </w:p>
    <w:p w:rsidR="00702E3C" w:rsidRDefault="004B1C83">
      <w:pPr>
        <w:pStyle w:val="Odlomakpopis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Ekološki – integracija zaštite okoliša i prirode u sve aspekte planiranja i upravljanja turizmom.</w:t>
      </w:r>
    </w:p>
    <w:p w:rsidR="00702E3C" w:rsidRDefault="004B1C83">
      <w:pPr>
        <w:pStyle w:val="Odlomakpopis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Socijalni – osiguranje ravnoteže između potreba lokalnog stanovništva i turističkog razvoja kroz uključivanje zajednice u procese donošenja odluka.</w:t>
      </w:r>
    </w:p>
    <w:p w:rsidR="00702E3C" w:rsidRDefault="004B1C83">
      <w:pPr>
        <w:pStyle w:val="Odlomakpopis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Infrastrukturni – usmjeravanje investicija u održivu infrastrukturu koja podupire i lokalnu zajednicu i turizam (voda, otpad, promet, pristupne točke, digitalna povezanost itd.).</w:t>
      </w:r>
    </w:p>
    <w:p w:rsidR="00702E3C" w:rsidRDefault="004B1C83">
      <w:pPr>
        <w:jc w:val="center"/>
      </w:pPr>
      <w:r>
        <w:rPr>
          <w:noProof/>
        </w:rPr>
        <w:lastRenderedPageBreak/>
        <w:drawing>
          <wp:anchor distT="0" distB="0" distL="114300" distR="114300" simplePos="0" relativeHeight="251667456" behindDoc="0" locked="0" layoutInCell="1" allowOverlap="1">
            <wp:simplePos x="0" y="0"/>
            <wp:positionH relativeFrom="column">
              <wp:posOffset>-635</wp:posOffset>
            </wp:positionH>
            <wp:positionV relativeFrom="paragraph">
              <wp:posOffset>0</wp:posOffset>
            </wp:positionV>
            <wp:extent cx="6080760" cy="6080760"/>
            <wp:effectExtent l="0" t="0" r="0" b="0"/>
            <wp:wrapTopAndBottom/>
            <wp:docPr id="168065354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3545" name="Slika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080760" cy="6080760"/>
                    </a:xfrm>
                    <a:prstGeom prst="rect">
                      <a:avLst/>
                    </a:prstGeom>
                    <a:noFill/>
                  </pic:spPr>
                </pic:pic>
              </a:graphicData>
            </a:graphic>
          </wp:anchor>
        </w:drawing>
      </w:r>
    </w:p>
    <w:p w:rsidR="00702E3C" w:rsidRDefault="004B1C83">
      <w:pPr>
        <w:pStyle w:val="Naslov2"/>
        <w:numPr>
          <w:ilvl w:val="1"/>
          <w:numId w:val="23"/>
        </w:numPr>
        <w:rPr>
          <w:rFonts w:ascii="Times New Roman" w:hAnsi="Times New Roman" w:cs="Times New Roman"/>
        </w:rPr>
      </w:pPr>
      <w:bookmarkStart w:id="117" w:name="_Hlk204628030"/>
      <w:bookmarkStart w:id="118" w:name="_Toc217040745"/>
      <w:r>
        <w:rPr>
          <w:rFonts w:ascii="Times New Roman" w:hAnsi="Times New Roman" w:cs="Times New Roman"/>
        </w:rPr>
        <w:t>Oblikovanje strateškog pravca i prioriteta</w:t>
      </w:r>
      <w:bookmarkEnd w:id="118"/>
    </w:p>
    <w:p w:rsidR="00702E3C" w:rsidRDefault="00702E3C"/>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svrhu osiguravanja održivog i uravnoteženog razvoja turizma na Dugom otoku, Zverincu i Lavdari, oblikovanje strateškog pravca temelji se na usklađivanju razvojnih potencijala destinacije s aktualnim i budućim tržišnim trendovima, kao i na identificiranim potrebama lokalne zajednice i posjetitelja. Strateški pravac razvoja turizma u destinaciji definira se kroz sljedeće prioritete i kvalitativne ciljeve razvoja: </w:t>
      </w:r>
    </w:p>
    <w:p w:rsidR="00702E3C" w:rsidRDefault="00702E3C">
      <w:pPr>
        <w:spacing w:line="360" w:lineRule="auto"/>
        <w:jc w:val="both"/>
        <w:rPr>
          <w:rFonts w:ascii="Times New Roman" w:hAnsi="Times New Roman" w:cs="Times New Roman"/>
          <w:sz w:val="24"/>
          <w:szCs w:val="24"/>
        </w:rPr>
      </w:pPr>
    </w:p>
    <w:p w:rsidR="00702E3C" w:rsidRDefault="004B1C8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P1. Upravljanje sezonalnošću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1. Povećanje udjela turističkog prometa izvan vrhunca sezone (svibanj, lipanj, rujan, listopad) kroz razvoj posebnih oblika turizma (kulturni, aktivni, enogastronomski, edukacijski).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2. Stimulacija ponude izvansezonskih sadržaja i događanja.</w:t>
      </w:r>
    </w:p>
    <w:p w:rsidR="00702E3C" w:rsidRDefault="004B1C8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P2. Ravnoteža volumena i vrijednosti turizma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3. Povećanje potrošnje po posjetitelju uz kontrolu rasta ukupnog volumena posjetitelja.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4. Poticanje dužeg boravka kroz kreiranje integriranih turističkih proizvoda i boljih itinerera.</w:t>
      </w:r>
    </w:p>
    <w:p w:rsidR="00702E3C" w:rsidRDefault="004B1C8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P3. Podizanje kvalitete smještaja i usluge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5. Poticanje ulaganja u kvalitetniji smještaj (posebice održivi i obiteljski vođeni objekti).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6. Jačanje kapaciteta pružatelja usluga kroz edukacije i certifikacijske programe.</w:t>
      </w:r>
    </w:p>
    <w:p w:rsidR="00702E3C" w:rsidRDefault="004B1C8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P4. Valorizacija posebnosti atrakcija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7. Razvoj nedovoljno korištenih atrakcija s visokim doživljajnim potencijalom (kulturna baština, lokalna gastronomija, arheološki lokaliteti, podmorje).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8. Interpretacija lokaliteta i povezivanje sa suvremenim oblicima storytellinga.</w:t>
      </w:r>
    </w:p>
    <w:p w:rsidR="00702E3C" w:rsidRDefault="004B1C8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P5. Razvoj novih usluga za posjetitelje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9. Inovacije u ponudi (mobilne aplikacije, digitalne karte, sustavi pametnog vođenja).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10. Jačanje informativnih točaka i sustava orijentacije na terenu.</w:t>
      </w:r>
    </w:p>
    <w:p w:rsidR="00702E3C" w:rsidRDefault="004B1C8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P6. Edukacija i osposobljavanje dionika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11. Jačanje suradnje između turističkih zajednica, škola i poslodavaca.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12. Uvođenje programa cjeloživotnog obrazovanja i stručnih radionica.</w:t>
      </w:r>
    </w:p>
    <w:p w:rsidR="00702E3C" w:rsidRDefault="004B1C83">
      <w:pPr>
        <w:shd w:val="clear" w:color="auto" w:fill="B7E995" w:themeFill="accent2" w:themeFillTint="66"/>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P7. Prepoznatljivost destinacije i ciljana tržišta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13. Razrada pozicioniranja destinacije na emitivnim tržištima (Njemačka, Austrija, Italija, Slovenija).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 14. Povezivanje razvoja proizvoda s ciljanom promocijom i digitalnim kanalima komunikacije.</w:t>
      </w:r>
    </w:p>
    <w:p w:rsidR="00702E3C" w:rsidRDefault="00702E3C">
      <w:pPr>
        <w:spacing w:line="360" w:lineRule="auto"/>
        <w:jc w:val="both"/>
        <w:rPr>
          <w:rFonts w:ascii="Times New Roman" w:hAnsi="Times New Roman" w:cs="Times New Roman"/>
          <w:sz w:val="24"/>
          <w:szCs w:val="24"/>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-635</wp:posOffset>
            </wp:positionH>
            <wp:positionV relativeFrom="paragraph">
              <wp:posOffset>0</wp:posOffset>
            </wp:positionV>
            <wp:extent cx="5760720" cy="4320540"/>
            <wp:effectExtent l="0" t="0" r="0" b="3810"/>
            <wp:wrapTopAndBottom/>
            <wp:docPr id="1997757349" name="Slika 8" descr="Slika na kojoj se prikazuje tekst, Post-it papirić, rukopis,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57349" name="Slika 8" descr="Slika na kojoj se prikazuje tekst, Post-it papirić, rukopis, dijagram&#10;&#10;Sadržaj generiran uz AI možda nije toča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rsidR="00702E3C" w:rsidRDefault="004B1C83">
      <w:pPr>
        <w:pStyle w:val="Naslov2"/>
        <w:numPr>
          <w:ilvl w:val="1"/>
          <w:numId w:val="23"/>
        </w:numPr>
        <w:rPr>
          <w:rFonts w:ascii="Times New Roman" w:hAnsi="Times New Roman" w:cs="Times New Roman"/>
        </w:rPr>
      </w:pPr>
      <w:bookmarkStart w:id="119" w:name="_Toc217040746"/>
      <w:r>
        <w:rPr>
          <w:rFonts w:ascii="Times New Roman" w:hAnsi="Times New Roman" w:cs="Times New Roman"/>
        </w:rPr>
        <w:t>Identificiranje ciljeva i aktivnosti</w:t>
      </w:r>
      <w:bookmarkEnd w:id="119"/>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Temeljem provedenih analiza stanja destinacije, SWOT matrice te strateških prioriteta definiranih u prethodnim poglavljima, utvrđuju se mjere koji usmjeravaju razvoj destinacije prema održivosti, kvaliteti i prepoznatljivosti. Ove mjere osiguravaju koordinaciju aktivnosti svih relevantnih dionika te omogućuju mjerenje uspješnosti provedbe Plana upravljanja.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Ciljevi i mjere su povezani s ključnim strateškim područjima i mogu biti kvantitativni (npr. povećanje noćenja, produljenje boravka) i kvalitativni (npr. jačanje imidža destinacije, unapređenje suradnje dionika). Njihovo ostvarenje temelj je za učinkovit monitoring i evaluaciju.</w:t>
      </w:r>
    </w:p>
    <w:p w:rsidR="00702E3C" w:rsidRDefault="004B1C83">
      <w:pPr>
        <w:pBdr>
          <w:top w:val="single" w:sz="2" w:space="1" w:color="54A021" w:themeColor="accent2"/>
          <w:left w:val="single" w:sz="2" w:space="4" w:color="54A021" w:themeColor="accent2"/>
          <w:bottom w:val="single" w:sz="2" w:space="1" w:color="54A021" w:themeColor="accent2"/>
          <w:right w:val="single" w:sz="2" w:space="4" w:color="54A021" w:themeColor="accent2"/>
        </w:pBdr>
        <w:shd w:val="clear" w:color="auto" w:fill="DAF4CA" w:themeFill="accent2" w:themeFillTint="33"/>
        <w:spacing w:line="360" w:lineRule="auto"/>
        <w:jc w:val="center"/>
        <w:rPr>
          <w:rFonts w:ascii="Times New Roman" w:hAnsi="Times New Roman" w:cs="Times New Roman"/>
          <w:sz w:val="24"/>
          <w:szCs w:val="24"/>
        </w:rPr>
      </w:pPr>
      <w:r>
        <w:rPr>
          <w:rFonts w:ascii="Times New Roman" w:hAnsi="Times New Roman" w:cs="Times New Roman"/>
          <w:sz w:val="24"/>
          <w:szCs w:val="24"/>
        </w:rPr>
        <w:t>Ciljevi (kvantitativni) razvoja destinacije Dugi otok – Zverinac – Lavdara:</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C1 - </w:t>
      </w:r>
      <w:bookmarkStart w:id="120" w:name="_Hlk204631796"/>
      <w:r>
        <w:rPr>
          <w:rFonts w:ascii="Times New Roman" w:hAnsi="Times New Roman" w:cs="Times New Roman"/>
          <w:sz w:val="24"/>
          <w:szCs w:val="24"/>
        </w:rPr>
        <w:t>Povećanje prosječne duljine boravka turista s 4,2 na 5 noćenja do 2029. godine.</w:t>
      </w:r>
      <w:bookmarkEnd w:id="120"/>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C2 - Diversifikacija turističke ponude kroz razvoj selektivnih oblika turizma (outdoor, kulturni, enogastronomski) na temelju lokalnih resursa.</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C3 - Povećanje prihoda od turizma po posjetitelju kroz poticanje ponude s dodatnom vrijednošću.</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C4 - Produljenje sezonu kroz promociju predsezonskih i posezonskih aktivnosti i događanja.</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C5 – Unaprjeđenje kvalitete smještaja i  ulaganja u smještajne kapacitete više kategorije.</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C6 - Očuvanje i valorizacija prirodne i kulturne baštine uključivanjem u turističku ponudu i edukacijom dionika.</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C7 - Unaprjeđenje prometne i komunalne infrastrukture u funkciji turizma.</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C8 - Jačanje ljudskih kapaciteta u turizmu kroz edukacije, promociju zanimanja i lokalne stipendije.</w:t>
      </w:r>
    </w:p>
    <w:p w:rsidR="00702E3C" w:rsidRDefault="004B1C83">
      <w:pPr>
        <w:pStyle w:val="Odlomakpopisa"/>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C9 - Uspostava sustava upravljanja posjetiteljima na najopterećenijim lokalitetima (npr. Veli žal, Sakarun, Veli Rat, Brbišćica).</w:t>
      </w:r>
    </w:p>
    <w:p w:rsidR="00702E3C" w:rsidRDefault="004B1C83">
      <w:pPr>
        <w:pStyle w:val="Odlomakpopisa"/>
        <w:numPr>
          <w:ilvl w:val="0"/>
          <w:numId w:val="35"/>
        </w:numPr>
        <w:spacing w:line="360" w:lineRule="auto"/>
        <w:jc w:val="both"/>
        <w:rPr>
          <w:rFonts w:ascii="Times New Roman" w:hAnsi="Times New Roman" w:cs="Times New Roman"/>
          <w:sz w:val="24"/>
          <w:szCs w:val="24"/>
        </w:rPr>
        <w:sectPr w:rsidR="00702E3C">
          <w:pgSz w:w="11906" w:h="16838"/>
          <w:pgMar w:top="1417" w:right="1417" w:bottom="1417" w:left="1417" w:header="708" w:footer="708" w:gutter="0"/>
          <w:cols w:space="708"/>
          <w:docGrid w:linePitch="360"/>
        </w:sectPr>
      </w:pPr>
      <w:r>
        <w:rPr>
          <w:rFonts w:ascii="Times New Roman" w:hAnsi="Times New Roman" w:cs="Times New Roman"/>
          <w:sz w:val="24"/>
          <w:szCs w:val="24"/>
        </w:rPr>
        <w:t>C10 - Uspostava brenda destinacije i unaprjeđenje komunikacije na ciljanim tržištima.</w:t>
      </w:r>
    </w:p>
    <w:p w:rsidR="00702E3C" w:rsidRDefault="004B1C83">
      <w:pPr>
        <w:pStyle w:val="Naslov2"/>
        <w:numPr>
          <w:ilvl w:val="1"/>
          <w:numId w:val="23"/>
        </w:numPr>
      </w:pPr>
      <w:bookmarkStart w:id="121" w:name="_Toc217040747"/>
      <w:r>
        <w:lastRenderedPageBreak/>
        <w:t>Mjere i aktivnosti</w:t>
      </w:r>
      <w:bookmarkEnd w:id="121"/>
      <w:r>
        <w:t xml:space="preserve"> </w:t>
      </w:r>
    </w:p>
    <w:p w:rsidR="00702E3C" w:rsidRDefault="00702E3C">
      <w:pPr>
        <w:spacing w:line="360" w:lineRule="auto"/>
        <w:jc w:val="both"/>
        <w:rPr>
          <w:rFonts w:ascii="Times New Roman" w:hAnsi="Times New Roman" w:cs="Times New Roman"/>
          <w:sz w:val="24"/>
          <w:szCs w:val="24"/>
        </w:rPr>
      </w:pPr>
    </w:p>
    <w:p w:rsidR="00702E3C" w:rsidRDefault="004B1C83">
      <w:pPr>
        <w:shd w:val="clear" w:color="auto" w:fill="DA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P1:</w:t>
      </w:r>
      <w:r>
        <w:rPr>
          <w:rFonts w:ascii="Times New Roman" w:hAnsi="Times New Roman" w:cs="Times New Roman"/>
          <w:sz w:val="24"/>
          <w:szCs w:val="24"/>
        </w:rPr>
        <w:t xml:space="preserve"> Upravljanje sezonalnošću</w:t>
      </w:r>
    </w:p>
    <w:p w:rsidR="00702E3C" w:rsidRDefault="004B1C83">
      <w:pPr>
        <w:shd w:val="clear" w:color="auto" w:fill="FAE0D0" w:themeFill="accent4"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w:t>
      </w:r>
      <w:r>
        <w:rPr>
          <w:rFonts w:ascii="Times New Roman" w:hAnsi="Times New Roman" w:cs="Times New Roman"/>
          <w:sz w:val="24"/>
          <w:szCs w:val="24"/>
        </w:rPr>
        <w:t xml:space="preserve"> Povećanje udjela turističkog prometa izvan vrhunca sezone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SC1.3 – Jačanje atraktivnosti predsezone i posezone</w:t>
      </w:r>
    </w:p>
    <w:p w:rsidR="00702E3C" w:rsidRDefault="004B1C83">
      <w:pPr>
        <w:pBdr>
          <w:bottom w:val="single" w:sz="2" w:space="1" w:color="54A021" w:themeColor="accent2"/>
        </w:pBd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MJERA 1.1: </w:t>
      </w:r>
      <w:r>
        <w:rPr>
          <w:rFonts w:ascii="Times New Roman" w:hAnsi="Times New Roman" w:cs="Times New Roman"/>
          <w:i/>
          <w:iCs/>
          <w:sz w:val="24"/>
          <w:szCs w:val="24"/>
        </w:rPr>
        <w:t>Diversifikacija ponude kroz kulturni, aktivni, enogastronomski i edukativni turizam</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Aktivnost 1.1.1: </w:t>
      </w:r>
      <w:r>
        <w:rPr>
          <w:rFonts w:ascii="Times New Roman" w:hAnsi="Times New Roman" w:cs="Times New Roman"/>
          <w:sz w:val="24"/>
          <w:szCs w:val="24"/>
        </w:rPr>
        <w:t>Razviti tematske vikende u svibnju i rujnu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Dugi otok</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lokalne udruge, OPG-ovi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financiranja: HTZ natječaji, općinski proračun</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tematskih događanja godišnje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Aktivnost 1.1.2: </w:t>
      </w:r>
      <w:r>
        <w:rPr>
          <w:rFonts w:ascii="Times New Roman" w:hAnsi="Times New Roman" w:cs="Times New Roman"/>
          <w:sz w:val="24"/>
          <w:szCs w:val="24"/>
        </w:rPr>
        <w:t>Uključiti OPG-ove i udruge u razvoj izvansezonskih evenata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i Udruga posjetitelja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LAG Mareta, Udruga vinara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kontinuirano od 2025.</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lokalni natječaji, privatne inicijative</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uključenih subjekata</w:t>
      </w:r>
    </w:p>
    <w:p w:rsidR="00702E3C" w:rsidRDefault="004B1C83">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MJERA 1.2: </w:t>
      </w:r>
      <w:r>
        <w:rPr>
          <w:rFonts w:ascii="Times New Roman" w:hAnsi="Times New Roman" w:cs="Times New Roman"/>
          <w:i/>
          <w:iCs/>
          <w:sz w:val="24"/>
          <w:szCs w:val="24"/>
        </w:rPr>
        <w:t>Promocija događanja u pred- i posezoni</w:t>
      </w:r>
    </w:p>
    <w:p w:rsidR="00702E3C" w:rsidRDefault="004B1C8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1.2.1: </w:t>
      </w:r>
      <w:r>
        <w:rPr>
          <w:rFonts w:ascii="Times New Roman" w:hAnsi="Times New Roman" w:cs="Times New Roman"/>
          <w:sz w:val="24"/>
          <w:szCs w:val="24"/>
        </w:rPr>
        <w:t>Osmisliti promotivnu kampanju “Jesen na Dugom otoku”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Dugi otok</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agencije, dizajneri, mediji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jesen 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marketing potpore</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Pokazatelj: broj posjeta u listopadu</w:t>
      </w:r>
    </w:p>
    <w:p w:rsidR="00702E3C" w:rsidRDefault="004B1C8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1.2.2: </w:t>
      </w:r>
      <w:r>
        <w:rPr>
          <w:rFonts w:ascii="Times New Roman" w:hAnsi="Times New Roman" w:cs="Times New Roman"/>
          <w:sz w:val="24"/>
          <w:szCs w:val="24"/>
        </w:rPr>
        <w:t>Potaknuti TZ da sufinancira događanja van srpnja i kolovoza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Općina Sali, lokalni organizatori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godišnje (2025.–2029.)</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zajednički fond</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sufinanciranih manifestacija</w:t>
      </w:r>
    </w:p>
    <w:p w:rsidR="00702E3C" w:rsidRDefault="00702E3C">
      <w:pPr>
        <w:pBdr>
          <w:bottom w:val="single" w:sz="2" w:space="1" w:color="54A021" w:themeColor="accent2"/>
        </w:pBdr>
        <w:spacing w:line="360" w:lineRule="auto"/>
        <w:jc w:val="both"/>
        <w:rPr>
          <w:rFonts w:ascii="Times New Roman" w:hAnsi="Times New Roman" w:cs="Times New Roman"/>
          <w:sz w:val="24"/>
          <w:szCs w:val="24"/>
        </w:rPr>
      </w:pPr>
    </w:p>
    <w:p w:rsidR="00702E3C" w:rsidRDefault="004B1C83">
      <w:pPr>
        <w:shd w:val="clear" w:color="auto" w:fill="DA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P2:</w:t>
      </w:r>
      <w:r>
        <w:rPr>
          <w:rFonts w:ascii="Times New Roman" w:hAnsi="Times New Roman" w:cs="Times New Roman"/>
          <w:sz w:val="24"/>
          <w:szCs w:val="24"/>
        </w:rPr>
        <w:t xml:space="preserve"> Ravnoteža volumena i vrijednosti turizma</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C2:</w:t>
      </w:r>
      <w:r>
        <w:rPr>
          <w:rFonts w:ascii="Times New Roman" w:hAnsi="Times New Roman" w:cs="Times New Roman"/>
          <w:sz w:val="24"/>
          <w:szCs w:val="24"/>
        </w:rPr>
        <w:t xml:space="preserve"> Povećanje potrošnje po posjetitelju uz kontrolu rasta ukupnog volumena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SC2.1 – Poticanje potrošnje kroz autentične doživljaje</w:t>
      </w:r>
    </w:p>
    <w:p w:rsidR="00702E3C" w:rsidRDefault="004B1C83">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MJERA 2.1: </w:t>
      </w:r>
      <w:r>
        <w:rPr>
          <w:rFonts w:ascii="Times New Roman" w:hAnsi="Times New Roman" w:cs="Times New Roman"/>
          <w:i/>
          <w:iCs/>
          <w:sz w:val="24"/>
          <w:szCs w:val="24"/>
        </w:rPr>
        <w:t>Razvoj proizvoda s dodatnom vrijednošću</w:t>
      </w:r>
    </w:p>
    <w:p w:rsidR="00702E3C" w:rsidRDefault="004B1C8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2.1.1: </w:t>
      </w:r>
      <w:r>
        <w:rPr>
          <w:rFonts w:ascii="Times New Roman" w:hAnsi="Times New Roman" w:cs="Times New Roman"/>
          <w:sz w:val="24"/>
          <w:szCs w:val="24"/>
        </w:rPr>
        <w:t>Kreirati lokalne doživljajne pakete (npr. ribarska večera + vođena šetnja + lokalni suvenir)</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Turističke agencije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OPG-ovi, vodiči, obrtnici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za turizam, HTZ potpore</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kreiranih paketa / prosječna potrošnja po gostu</w:t>
      </w:r>
    </w:p>
    <w:p w:rsidR="00702E3C" w:rsidRDefault="004B1C8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Aktivnost 2.1.2: </w:t>
      </w:r>
      <w:r>
        <w:rPr>
          <w:rFonts w:ascii="Times New Roman" w:hAnsi="Times New Roman" w:cs="Times New Roman"/>
          <w:sz w:val="24"/>
          <w:szCs w:val="24"/>
        </w:rPr>
        <w:t>Uvesti sustav nagrađivanja za potrošnju kod lokalnih ponuđača (turistička loyalty kartica)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lokalni partneri, POS sustavi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2027.</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privatna sredstva + TZ</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Pokazatelj: broj uključenih partnera / broj korištenja</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C3:</w:t>
      </w:r>
      <w:r>
        <w:rPr>
          <w:rFonts w:ascii="Times New Roman" w:hAnsi="Times New Roman" w:cs="Times New Roman"/>
          <w:sz w:val="24"/>
          <w:szCs w:val="24"/>
        </w:rPr>
        <w:t xml:space="preserve"> Poticanje dužeg boravka kroz bolje itinerere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SC1.2 – Povećanje duljine boravka</w:t>
      </w:r>
    </w:p>
    <w:p w:rsidR="00702E3C" w:rsidRDefault="004B1C8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MJERA 2.2: </w:t>
      </w:r>
      <w:r>
        <w:rPr>
          <w:rFonts w:ascii="Times New Roman" w:hAnsi="Times New Roman" w:cs="Times New Roman"/>
          <w:sz w:val="24"/>
          <w:szCs w:val="24"/>
        </w:rPr>
        <w:t>Razvoj integriranih višednevnih itinerera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2.2.1:</w:t>
      </w:r>
      <w:r>
        <w:rPr>
          <w:rFonts w:ascii="Times New Roman" w:hAnsi="Times New Roman" w:cs="Times New Roman"/>
          <w:sz w:val="24"/>
          <w:szCs w:val="24"/>
        </w:rPr>
        <w:t xml:space="preserve"> Osmisliti 3 modela itinerera (aktivni, kulturni, obiteljski)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turističke agencije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interpretatori, kulturne institucije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 MINTS</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izrađenih itinerera / preuzimanja s weba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2.2.2:</w:t>
      </w:r>
      <w:r>
        <w:rPr>
          <w:rFonts w:ascii="Times New Roman" w:hAnsi="Times New Roman" w:cs="Times New Roman"/>
          <w:sz w:val="24"/>
          <w:szCs w:val="24"/>
        </w:rPr>
        <w:t xml:space="preserve"> Postaviti info-ploče s prijedlozima višednevnih ruta na ulazima u mjesta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komunalna poduzeća, dizajneri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općinski proračun / fond za tur. infrastrukturu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postavljenih ploča</w:t>
      </w:r>
    </w:p>
    <w:p w:rsidR="00702E3C" w:rsidRDefault="00702E3C">
      <w:pPr>
        <w:pBdr>
          <w:top w:val="single" w:sz="2" w:space="1" w:color="54A021" w:themeColor="accent2"/>
          <w:bottom w:val="single" w:sz="2" w:space="1" w:color="54A021" w:themeColor="accent2"/>
        </w:pBdr>
        <w:spacing w:line="360" w:lineRule="auto"/>
        <w:jc w:val="both"/>
        <w:rPr>
          <w:rFonts w:ascii="Times New Roman" w:hAnsi="Times New Roman" w:cs="Times New Roman"/>
          <w:b/>
          <w:bCs/>
          <w:sz w:val="24"/>
          <w:szCs w:val="24"/>
        </w:rPr>
      </w:pPr>
    </w:p>
    <w:p w:rsidR="00702E3C" w:rsidRDefault="004B1C83">
      <w:pPr>
        <w:pBdr>
          <w:top w:val="single" w:sz="2" w:space="1" w:color="54A021" w:themeColor="accent2"/>
          <w:bottom w:val="single" w:sz="2" w:space="1" w:color="54A021" w:themeColor="accent2"/>
        </w:pBdr>
        <w:shd w:val="clear" w:color="auto" w:fill="DA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P3:</w:t>
      </w:r>
      <w:r>
        <w:rPr>
          <w:rFonts w:ascii="Times New Roman" w:hAnsi="Times New Roman" w:cs="Times New Roman"/>
          <w:sz w:val="24"/>
          <w:szCs w:val="24"/>
        </w:rPr>
        <w:t xml:space="preserve"> Podizanje kvalitete smještaja i usluge</w:t>
      </w:r>
    </w:p>
    <w:p w:rsidR="00702E3C" w:rsidRDefault="004B1C83">
      <w:pPr>
        <w:pBdr>
          <w:top w:val="single" w:sz="2" w:space="1" w:color="54A021" w:themeColor="accent2"/>
          <w:bottom w:val="single" w:sz="2" w:space="1" w:color="54A021" w:themeColor="accent2"/>
        </w:pBd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C4:</w:t>
      </w:r>
      <w:r>
        <w:rPr>
          <w:rFonts w:ascii="Times New Roman" w:hAnsi="Times New Roman" w:cs="Times New Roman"/>
          <w:sz w:val="24"/>
          <w:szCs w:val="24"/>
        </w:rPr>
        <w:t xml:space="preserve"> Poticanje ulaganja u kvalitetniji i održivi smještaj</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SC3.1 – Poticanje kvalitete smještaja i održivih praksi</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3.1:</w:t>
      </w:r>
      <w:r>
        <w:rPr>
          <w:rFonts w:ascii="Times New Roman" w:hAnsi="Times New Roman" w:cs="Times New Roman"/>
          <w:i/>
          <w:iCs/>
          <w:sz w:val="24"/>
          <w:szCs w:val="24"/>
        </w:rPr>
        <w:t xml:space="preserve"> Financijsko i savjetodavno poticanje ulaganja u kvalitetan smještaj</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3.1.1:</w:t>
      </w:r>
      <w:r>
        <w:rPr>
          <w:rFonts w:ascii="Times New Roman" w:hAnsi="Times New Roman" w:cs="Times New Roman"/>
          <w:sz w:val="24"/>
          <w:szCs w:val="24"/>
        </w:rPr>
        <w:t xml:space="preserve"> Organizirati godišnje edukacije o održivim modelima smještaja i dostupnim izvorima financiranja</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LAG</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HGK, konzultanti, turistički sektor</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Rok: godišnje, počevši od 2025.</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Izvor: Program ruralnog razvoja / MINTS</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sudionika / prijava na natječaje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3.1.2:</w:t>
      </w:r>
      <w:r>
        <w:rPr>
          <w:rFonts w:ascii="Times New Roman" w:hAnsi="Times New Roman" w:cs="Times New Roman"/>
          <w:sz w:val="24"/>
          <w:szCs w:val="24"/>
        </w:rPr>
        <w:t xml:space="preserve"> Uspostaviti savjetovalište za iznajmljivače i male investitore</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Općina</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vanjski stručnjaci, lokalni dionici</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Izvor: lokalni proračun / EU projekti</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konzultacija / korisnika</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C5:</w:t>
      </w:r>
      <w:r>
        <w:rPr>
          <w:rFonts w:ascii="Times New Roman" w:hAnsi="Times New Roman" w:cs="Times New Roman"/>
          <w:sz w:val="24"/>
          <w:szCs w:val="24"/>
        </w:rPr>
        <w:t xml:space="preserve"> Jačanje kapaciteta pružatelja usluga</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SC4.1 – Profesionalizacija i edukacija u turizmu</w:t>
      </w:r>
    </w:p>
    <w:p w:rsidR="00702E3C" w:rsidRDefault="004B1C83">
      <w:pPr>
        <w:pBdr>
          <w:bottom w:val="single" w:sz="2" w:space="1" w:color="54A021" w:themeColor="accent2"/>
        </w:pBd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3.2:</w:t>
      </w:r>
      <w:r>
        <w:rPr>
          <w:rFonts w:ascii="Times New Roman" w:hAnsi="Times New Roman" w:cs="Times New Roman"/>
          <w:i/>
          <w:iCs/>
          <w:sz w:val="24"/>
          <w:szCs w:val="24"/>
        </w:rPr>
        <w:t xml:space="preserve"> Certifikacija i osposobljavanje turističkih dionika</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3.2.1:</w:t>
      </w:r>
      <w:r>
        <w:rPr>
          <w:rFonts w:ascii="Times New Roman" w:hAnsi="Times New Roman" w:cs="Times New Roman"/>
          <w:sz w:val="24"/>
          <w:szCs w:val="24"/>
        </w:rPr>
        <w:t xml:space="preserve"> Provesti program certificiranja “Gostoljubiv domaćin” za iznajmljivače i ugostitelje</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strukovne udruge, obrazovne institucije</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Rok: 2026.–2027.</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Izvor: HTZ / MZO / općinski proračun</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certificiranih objekata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3.2.2:</w:t>
      </w:r>
      <w:r>
        <w:rPr>
          <w:rFonts w:ascii="Times New Roman" w:hAnsi="Times New Roman" w:cs="Times New Roman"/>
          <w:sz w:val="24"/>
          <w:szCs w:val="24"/>
        </w:rPr>
        <w:t xml:space="preserve"> Uvesti sustav mentorstva za mlade u turizmu (npr. lokalni vodiči, animatori, domaćini)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škole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iskusni pružatelji usluga, OPG-ovi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od 2025.</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mjere zapošljavanja / fond za obrazovanje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Pokazatelj: broj mentorskih programa i polaznika </w:t>
      </w:r>
      <w:bookmarkEnd w:id="117"/>
    </w:p>
    <w:p w:rsidR="00702E3C" w:rsidRDefault="00702E3C">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p>
    <w:p w:rsidR="00702E3C" w:rsidRDefault="004B1C83">
      <w:pPr>
        <w:pBdr>
          <w:top w:val="single" w:sz="2" w:space="1" w:color="54A021" w:themeColor="accent2"/>
          <w:bottom w:val="single" w:sz="2" w:space="1" w:color="54A021" w:themeColor="accent2"/>
        </w:pBdr>
        <w:shd w:val="clear" w:color="auto" w:fill="DA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P4:</w:t>
      </w:r>
      <w:r>
        <w:rPr>
          <w:rFonts w:ascii="Times New Roman" w:hAnsi="Times New Roman" w:cs="Times New Roman"/>
          <w:sz w:val="24"/>
          <w:szCs w:val="24"/>
        </w:rPr>
        <w:t xml:space="preserve"> Valorizacija posebnosti atrakcija</w:t>
      </w:r>
    </w:p>
    <w:p w:rsidR="00702E3C" w:rsidRDefault="004B1C83">
      <w:pPr>
        <w:pBdr>
          <w:top w:val="single" w:sz="2" w:space="1" w:color="54A021" w:themeColor="accent2"/>
          <w:bottom w:val="single" w:sz="2" w:space="1" w:color="54A021" w:themeColor="accent2"/>
        </w:pBd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C6:</w:t>
      </w:r>
      <w:r>
        <w:rPr>
          <w:rFonts w:ascii="Times New Roman" w:hAnsi="Times New Roman" w:cs="Times New Roman"/>
          <w:sz w:val="24"/>
          <w:szCs w:val="24"/>
        </w:rPr>
        <w:t xml:space="preserve"> Razvoj nedovoljno korištenih atrakcija s visokim doživljajnim potencijalom</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SC2.2 – Diferencijacija i valorizacija kulturne i prirodne baštine</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4.1:</w:t>
      </w:r>
      <w:r>
        <w:rPr>
          <w:rFonts w:ascii="Times New Roman" w:hAnsi="Times New Roman" w:cs="Times New Roman"/>
          <w:i/>
          <w:iCs/>
          <w:sz w:val="24"/>
          <w:szCs w:val="24"/>
        </w:rPr>
        <w:t xml:space="preserve"> Aktivacija lokaliteta kroz interpretacijske i doživljajne sadržaje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4.1.1:</w:t>
      </w:r>
      <w:r>
        <w:rPr>
          <w:rFonts w:ascii="Times New Roman" w:hAnsi="Times New Roman" w:cs="Times New Roman"/>
          <w:sz w:val="24"/>
          <w:szCs w:val="24"/>
        </w:rPr>
        <w:t xml:space="preserve"> Izraditi interpretacijski plan za lokalitete sv. Ivan, sv. Luka, Sakarun, Brbišćica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PP Telašćica, konzervatori, arheolozi, lokalna zajednica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 Ministarstvo kulture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izrađenih planova</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4.1.2:</w:t>
      </w:r>
      <w:r>
        <w:rPr>
          <w:rFonts w:ascii="Times New Roman" w:hAnsi="Times New Roman" w:cs="Times New Roman"/>
          <w:sz w:val="24"/>
          <w:szCs w:val="24"/>
        </w:rPr>
        <w:t xml:space="preserve"> Postaviti info-ploče, interaktivne vodiče i smeđu signalizaciju za odabrane lokalitete</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Općina</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Partner: dizajneri, muzeji, tiskare</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Rok: 2026.–2027.</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Izvor: MINTS / lokalni proračun</w:t>
      </w:r>
    </w:p>
    <w:p w:rsidR="00702E3C" w:rsidRDefault="004B1C83">
      <w:pPr>
        <w:pBdr>
          <w:top w:val="single" w:sz="2" w:space="1" w:color="54A021" w:themeColor="accent2"/>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postavljenih interpretacijskih elemenata</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C7:</w:t>
      </w:r>
      <w:r>
        <w:rPr>
          <w:rFonts w:ascii="Times New Roman" w:hAnsi="Times New Roman" w:cs="Times New Roman"/>
          <w:sz w:val="24"/>
          <w:szCs w:val="24"/>
        </w:rPr>
        <w:t xml:space="preserve"> Očuvanje i interpretacija prirodne i kulturne baštine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SC5.1 – Održivo upravljanje resursima i prostornim kapacitetima</w:t>
      </w:r>
    </w:p>
    <w:p w:rsidR="00702E3C" w:rsidRDefault="004B1C83">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4.2:</w:t>
      </w:r>
      <w:r>
        <w:rPr>
          <w:rFonts w:ascii="Times New Roman" w:hAnsi="Times New Roman" w:cs="Times New Roman"/>
          <w:i/>
          <w:iCs/>
          <w:sz w:val="24"/>
          <w:szCs w:val="24"/>
        </w:rPr>
        <w:t xml:space="preserve"> Edukacija i promocija baštine među lokalnim dionicima i posjetiteljima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Aktivnost 4.2.1:</w:t>
      </w:r>
      <w:r>
        <w:rPr>
          <w:rFonts w:ascii="Times New Roman" w:hAnsi="Times New Roman" w:cs="Times New Roman"/>
          <w:sz w:val="24"/>
          <w:szCs w:val="24"/>
        </w:rPr>
        <w:t xml:space="preserve"> Organizirati godišnji “Festival baštine” – Dani otvorenih vrata lokaliteta, radionice i storytelling</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škole, udruge, PP Telašćica, KUD-ovi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od 2026. nadalje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Ministarstvo kulture, općinski proračun</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posjetitelja i partnera festivala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Aktivnost 4.2.2: </w:t>
      </w:r>
      <w:r>
        <w:rPr>
          <w:rFonts w:ascii="Times New Roman" w:hAnsi="Times New Roman" w:cs="Times New Roman"/>
          <w:sz w:val="24"/>
          <w:szCs w:val="24"/>
        </w:rPr>
        <w:t>Razviti volonterske  i edukativne programe vezane uz očuvanje baštine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 + nevladine udruge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studenti, strukovne škole, kulturni djelatnici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od 2025.</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Erasmus+, Interreg</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provedenih programa i polaznika</w:t>
      </w:r>
    </w:p>
    <w:p w:rsidR="00702E3C" w:rsidRDefault="00702E3C">
      <w:pPr>
        <w:pBdr>
          <w:bottom w:val="single" w:sz="2" w:space="1" w:color="54A021" w:themeColor="accent2"/>
        </w:pBdr>
        <w:spacing w:line="360" w:lineRule="auto"/>
        <w:jc w:val="both"/>
        <w:rPr>
          <w:rFonts w:ascii="Times New Roman" w:hAnsi="Times New Roman" w:cs="Times New Roman"/>
          <w:sz w:val="24"/>
          <w:szCs w:val="24"/>
        </w:rPr>
      </w:pPr>
    </w:p>
    <w:p w:rsidR="00702E3C" w:rsidRDefault="004B1C83">
      <w:pPr>
        <w:shd w:val="clear" w:color="auto" w:fill="DA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P5:</w:t>
      </w:r>
      <w:r>
        <w:rPr>
          <w:rFonts w:ascii="Times New Roman" w:hAnsi="Times New Roman" w:cs="Times New Roman"/>
          <w:sz w:val="24"/>
          <w:szCs w:val="24"/>
        </w:rPr>
        <w:t xml:space="preserve"> Razvoj novih usluga za posjetitelje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C8:</w:t>
      </w:r>
      <w:r>
        <w:rPr>
          <w:rFonts w:ascii="Times New Roman" w:hAnsi="Times New Roman" w:cs="Times New Roman"/>
          <w:sz w:val="24"/>
          <w:szCs w:val="24"/>
        </w:rPr>
        <w:t xml:space="preserve"> Inovacije u ponudi (mobilne aplikacije, digitalne karte, sustavi pametnog vođenja)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SC3.3 – Digitalna transformacija turizma</w:t>
      </w:r>
    </w:p>
    <w:p w:rsidR="00702E3C" w:rsidRDefault="004B1C83">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5.1:</w:t>
      </w:r>
      <w:r>
        <w:rPr>
          <w:rFonts w:ascii="Times New Roman" w:hAnsi="Times New Roman" w:cs="Times New Roman"/>
          <w:i/>
          <w:iCs/>
          <w:sz w:val="24"/>
          <w:szCs w:val="24"/>
        </w:rPr>
        <w:t xml:space="preserve"> Unaprjeđenje digitalne infrastrukture i sadržaja za posjetitelje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5.1.1:</w:t>
      </w:r>
      <w:r>
        <w:rPr>
          <w:rFonts w:ascii="Times New Roman" w:hAnsi="Times New Roman" w:cs="Times New Roman"/>
          <w:sz w:val="24"/>
          <w:szCs w:val="24"/>
        </w:rPr>
        <w:t xml:space="preserve"> Razviti mobilnu aplikaciju s interaktivnom kartom, informacijama o atrakcijama, događanjima i smještaju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IT tvrtke, PP Telašćica, lokalni ponuđači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Digitalna tranzicija – MINTS, EU fondovi</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Pokazatelj: broj preuzimanja aplikacije i korisnička ocjena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5.1.2:</w:t>
      </w:r>
      <w:r>
        <w:rPr>
          <w:rFonts w:ascii="Times New Roman" w:hAnsi="Times New Roman" w:cs="Times New Roman"/>
          <w:sz w:val="24"/>
          <w:szCs w:val="24"/>
        </w:rPr>
        <w:t xml:space="preserve"> Postaviti pametne info toteme i QR kodove na ključnim lokacijama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Općina, izvođači, dizajneri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Nacionalni plan oporavka i otpornosti (NPOO)</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postavljenih pametnih točaka</w:t>
      </w:r>
    </w:p>
    <w:p w:rsidR="00702E3C" w:rsidRDefault="00702E3C">
      <w:pPr>
        <w:pBdr>
          <w:top w:val="single" w:sz="2" w:space="1" w:color="54A021" w:themeColor="accent2"/>
        </w:pBdr>
        <w:spacing w:line="360" w:lineRule="auto"/>
        <w:jc w:val="both"/>
        <w:rPr>
          <w:rFonts w:ascii="Times New Roman" w:hAnsi="Times New Roman" w:cs="Times New Roman"/>
          <w:sz w:val="24"/>
          <w:szCs w:val="24"/>
        </w:rPr>
      </w:pPr>
    </w:p>
    <w:p w:rsidR="00702E3C" w:rsidRDefault="004B1C83">
      <w:pPr>
        <w:pBdr>
          <w:top w:val="single" w:sz="2" w:space="1" w:color="54A021" w:themeColor="accent2"/>
        </w:pBd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8D1CC" w:themeFill="accent5" w:themeFillTint="33"/>
        </w:rPr>
        <w:t>CILJ RAZVOJA C9:</w:t>
      </w:r>
      <w:r>
        <w:rPr>
          <w:rFonts w:ascii="Times New Roman" w:hAnsi="Times New Roman" w:cs="Times New Roman"/>
          <w:sz w:val="24"/>
          <w:szCs w:val="24"/>
        </w:rPr>
        <w:t xml:space="preserve"> Jačanje informativnih točaka i sustava orijentacije na terenu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SC1.3 – Podizanje kvalitete boravka u destinaciji</w:t>
      </w:r>
    </w:p>
    <w:p w:rsidR="00702E3C" w:rsidRDefault="004B1C83">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5.2:</w:t>
      </w:r>
      <w:r>
        <w:rPr>
          <w:rFonts w:ascii="Times New Roman" w:hAnsi="Times New Roman" w:cs="Times New Roman"/>
          <w:i/>
          <w:iCs/>
          <w:sz w:val="24"/>
          <w:szCs w:val="24"/>
        </w:rPr>
        <w:t xml:space="preserve"> Povećanje pristupačnosti i kvalitete informacija na terenu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5.2.1:</w:t>
      </w:r>
      <w:r>
        <w:rPr>
          <w:rFonts w:ascii="Times New Roman" w:hAnsi="Times New Roman" w:cs="Times New Roman"/>
          <w:sz w:val="24"/>
          <w:szCs w:val="24"/>
        </w:rPr>
        <w:t xml:space="preserve"> Obnoviti i proširiti mrežu turističkih informativnih punktova (Sali, Božava, Veli Rat)</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Općina, lokalni subjekti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2025.–2027.</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 ZŽ proračun</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info-točaka i razina zadovoljstva korisnika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5.2.2:</w:t>
      </w:r>
      <w:r>
        <w:rPr>
          <w:rFonts w:ascii="Times New Roman" w:hAnsi="Times New Roman" w:cs="Times New Roman"/>
          <w:sz w:val="24"/>
          <w:szCs w:val="24"/>
        </w:rPr>
        <w:t xml:space="preserve"> Razviti multi jezične mape i vodiče u tiskanom i digitalnom formatu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dizajneri, prevoditelji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lokalni proračun</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distribuiranih vodiča i preuzimanja</w:t>
      </w:r>
    </w:p>
    <w:p w:rsidR="00702E3C" w:rsidRDefault="00702E3C">
      <w:pPr>
        <w:spacing w:line="360" w:lineRule="auto"/>
        <w:jc w:val="both"/>
        <w:rPr>
          <w:rFonts w:ascii="Times New Roman" w:hAnsi="Times New Roman" w:cs="Times New Roman"/>
          <w:sz w:val="24"/>
          <w:szCs w:val="24"/>
        </w:rPr>
      </w:pPr>
    </w:p>
    <w:p w:rsidR="00702E3C" w:rsidRDefault="004B1C83">
      <w:pPr>
        <w:shd w:val="clear" w:color="auto" w:fill="DA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PRIORITET P6:</w:t>
      </w:r>
      <w:r>
        <w:rPr>
          <w:rFonts w:ascii="Times New Roman" w:hAnsi="Times New Roman" w:cs="Times New Roman"/>
          <w:sz w:val="24"/>
          <w:szCs w:val="24"/>
        </w:rPr>
        <w:t xml:space="preserve"> Edukacija i osposobljavanje dionika</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C10:</w:t>
      </w:r>
      <w:r>
        <w:rPr>
          <w:rFonts w:ascii="Times New Roman" w:hAnsi="Times New Roman" w:cs="Times New Roman"/>
          <w:sz w:val="24"/>
          <w:szCs w:val="24"/>
        </w:rPr>
        <w:t xml:space="preserve"> Jačanje suradnje između turističkih zajednica, škola i poslodavaca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SC5.1 – Jačanje ljudskih kapaciteta i obrazovanja u turizmu</w:t>
      </w:r>
    </w:p>
    <w:p w:rsidR="00702E3C" w:rsidRDefault="004B1C83">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6.1:</w:t>
      </w:r>
      <w:r>
        <w:rPr>
          <w:rFonts w:ascii="Times New Roman" w:hAnsi="Times New Roman" w:cs="Times New Roman"/>
          <w:i/>
          <w:iCs/>
          <w:sz w:val="24"/>
          <w:szCs w:val="24"/>
        </w:rPr>
        <w:t xml:space="preserve"> Umrežavanje i razvoj obrazovnih inicijativa s lokalnim dionicima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6.1.1:</w:t>
      </w:r>
      <w:r>
        <w:rPr>
          <w:rFonts w:ascii="Times New Roman" w:hAnsi="Times New Roman" w:cs="Times New Roman"/>
          <w:sz w:val="24"/>
          <w:szCs w:val="24"/>
        </w:rPr>
        <w:t xml:space="preserve"> Uspostaviti suradnju između škola, TZO i turističkih poduzetnika radi provedbe zajedničkih projekata (npr. Dani turizma, mentorstva, stručne prakse)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Osnovna škola, srednje škole Zadra, Udruga iznajmljivača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MZO / lokalni proračun</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zajedničkih projekata i broj uključenih učenika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Aktivnost 6.1.2: </w:t>
      </w:r>
      <w:r>
        <w:rPr>
          <w:rFonts w:ascii="Times New Roman" w:hAnsi="Times New Roman" w:cs="Times New Roman"/>
          <w:sz w:val="24"/>
          <w:szCs w:val="24"/>
        </w:rPr>
        <w:t>Organizirati godišnju konferenciju o održivom razvoju turizma za sve dionike s Dugog otoka, Zverinca i Lavdare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Park prirode Telašćica, lokalna zajednica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svake godine od 2025.</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sponzorstva</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sudionika i medijskih objava</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C11:</w:t>
      </w:r>
      <w:r>
        <w:rPr>
          <w:rFonts w:ascii="Times New Roman" w:hAnsi="Times New Roman" w:cs="Times New Roman"/>
          <w:sz w:val="24"/>
          <w:szCs w:val="24"/>
        </w:rPr>
        <w:t xml:space="preserve"> Uvođenje programa cjeloživotnog obrazovanja i stručnih radionica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SC5.2 – Povećanje stručnosti i kompetencija u turizmu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MJERA 6.2:</w:t>
      </w:r>
      <w:r>
        <w:rPr>
          <w:rFonts w:ascii="Times New Roman" w:hAnsi="Times New Roman" w:cs="Times New Roman"/>
          <w:sz w:val="24"/>
          <w:szCs w:val="24"/>
        </w:rPr>
        <w:t xml:space="preserve"> Cjeloživotno obrazovanje i stručna usavršavanja za dionike u turizmu</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Aktivnost 6.2.1: Organizirati radionice za iznajmljivače, vodiče, ugostitelje o digitalnim alatima, zelenom poslovanju i uslužnim vještinama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Obrtnička komora, stručnjaci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Rok: kontinuirano, 2025.–2029.</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NPOO / lokalni proračun / HTZ edukacije</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održanih radionica i broj sudionika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6.2.2:</w:t>
      </w:r>
      <w:r>
        <w:rPr>
          <w:rFonts w:ascii="Times New Roman" w:hAnsi="Times New Roman" w:cs="Times New Roman"/>
          <w:sz w:val="24"/>
          <w:szCs w:val="24"/>
        </w:rPr>
        <w:t xml:space="preserve"> Razviti online platformu za edukaciju i dijeljenje dobrih praksi među dionicima (MOOC model)</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edukacijske platforme, ZŽ razvojna agencija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2026.–2027.</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 suradnje s edukatorima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registriranih korisnika i korištenje sadržaja</w:t>
      </w:r>
    </w:p>
    <w:p w:rsidR="00702E3C" w:rsidRDefault="00702E3C">
      <w:pPr>
        <w:pBdr>
          <w:top w:val="single" w:sz="2" w:space="1" w:color="54A021" w:themeColor="accent2"/>
        </w:pBdr>
        <w:spacing w:line="360" w:lineRule="auto"/>
        <w:jc w:val="both"/>
        <w:rPr>
          <w:rFonts w:ascii="Times New Roman" w:hAnsi="Times New Roman" w:cs="Times New Roman"/>
          <w:sz w:val="24"/>
          <w:szCs w:val="24"/>
        </w:rPr>
      </w:pPr>
    </w:p>
    <w:p w:rsidR="00702E3C" w:rsidRDefault="004B1C83">
      <w:pPr>
        <w:pBdr>
          <w:top w:val="single" w:sz="2" w:space="1" w:color="54A021" w:themeColor="accent2"/>
        </w:pBdr>
        <w:shd w:val="clear" w:color="auto" w:fill="DAF4CA" w:themeFill="accent2"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PRIORITET P7:</w:t>
      </w:r>
      <w:r>
        <w:rPr>
          <w:rFonts w:ascii="Times New Roman" w:hAnsi="Times New Roman" w:cs="Times New Roman"/>
          <w:sz w:val="24"/>
          <w:szCs w:val="24"/>
        </w:rPr>
        <w:t xml:space="preserve"> Prepoznatljivost destinacije i ciljana tržišta</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C12:</w:t>
      </w:r>
      <w:r>
        <w:rPr>
          <w:rFonts w:ascii="Times New Roman" w:hAnsi="Times New Roman" w:cs="Times New Roman"/>
          <w:sz w:val="24"/>
          <w:szCs w:val="24"/>
        </w:rPr>
        <w:t xml:space="preserve"> Razrada pozicioniranja destinacije na emitivnim tržištima (Njemačka, Austrija, Italija, Slovenija)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SC4.1 – Jačanje prepoznatljivosti destinacije i promocija na ciljanom tržištu</w:t>
      </w:r>
    </w:p>
    <w:p w:rsidR="00702E3C" w:rsidRDefault="004B1C83">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7.1:</w:t>
      </w:r>
      <w:r>
        <w:rPr>
          <w:rFonts w:ascii="Times New Roman" w:hAnsi="Times New Roman" w:cs="Times New Roman"/>
          <w:i/>
          <w:iCs/>
          <w:sz w:val="24"/>
          <w:szCs w:val="24"/>
        </w:rPr>
        <w:t xml:space="preserve"> Izrada i provedba strateškog marketinškog plana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7.1.1:</w:t>
      </w:r>
      <w:r>
        <w:rPr>
          <w:rFonts w:ascii="Times New Roman" w:hAnsi="Times New Roman" w:cs="Times New Roman"/>
          <w:sz w:val="24"/>
          <w:szCs w:val="24"/>
        </w:rPr>
        <w:t xml:space="preserve"> Izraditi strateški marketinški plan s fokusom na profilirane ciljne skupine i tržišta (npr. outdoor parovi 35–55, kulturni turisti 45+)</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vanjski konzultanti, TZ županije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HTZ natječaji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izrađen i usvojen dokument</w:t>
      </w:r>
    </w:p>
    <w:p w:rsidR="00702E3C" w:rsidRDefault="00702E3C">
      <w:pPr>
        <w:spacing w:line="360" w:lineRule="auto"/>
        <w:jc w:val="both"/>
        <w:rPr>
          <w:rFonts w:ascii="Times New Roman" w:hAnsi="Times New Roman" w:cs="Times New Roman"/>
          <w:sz w:val="24"/>
          <w:szCs w:val="24"/>
        </w:rPr>
      </w:pP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Aktivnost 7.1.2:</w:t>
      </w:r>
      <w:r>
        <w:rPr>
          <w:rFonts w:ascii="Times New Roman" w:hAnsi="Times New Roman" w:cs="Times New Roman"/>
          <w:sz w:val="24"/>
          <w:szCs w:val="24"/>
        </w:rPr>
        <w:t xml:space="preserve"> Sudjelovati na specijaliziranim B2B sajmovima i studijskim putovanjima za novinare i agente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HTZ, putničke agencije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godišnje, 2025.–2029.</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HTZ / vlastita sredstva</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sajmova i ostvarenih suradnji</w:t>
      </w:r>
    </w:p>
    <w:p w:rsidR="00702E3C" w:rsidRDefault="004B1C83">
      <w:pPr>
        <w:shd w:val="clear" w:color="auto" w:fill="F8D1CC" w:themeFill="accent5" w:themeFillTint="33"/>
        <w:spacing w:line="360" w:lineRule="auto"/>
        <w:jc w:val="both"/>
        <w:rPr>
          <w:rFonts w:ascii="Times New Roman" w:hAnsi="Times New Roman" w:cs="Times New Roman"/>
          <w:sz w:val="24"/>
          <w:szCs w:val="24"/>
        </w:rPr>
      </w:pPr>
      <w:r>
        <w:rPr>
          <w:rFonts w:ascii="Times New Roman" w:hAnsi="Times New Roman" w:cs="Times New Roman"/>
          <w:b/>
          <w:bCs/>
          <w:sz w:val="24"/>
          <w:szCs w:val="24"/>
        </w:rPr>
        <w:t>CILJ RAZVOJA C13:</w:t>
      </w:r>
      <w:r>
        <w:rPr>
          <w:rFonts w:ascii="Times New Roman" w:hAnsi="Times New Roman" w:cs="Times New Roman"/>
          <w:sz w:val="24"/>
          <w:szCs w:val="24"/>
        </w:rPr>
        <w:t xml:space="preserve"> Povezivanje razvoja proizvoda s ciljanom promocijom i digitalnim kanalima komunikacije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Poveznica na cilj Strategije ZŽ: SC4.2 – Digitalna transformacija i brendiranje turizma</w:t>
      </w:r>
    </w:p>
    <w:p w:rsidR="00702E3C" w:rsidRDefault="004B1C83">
      <w:pPr>
        <w:spacing w:line="360" w:lineRule="auto"/>
        <w:jc w:val="both"/>
        <w:rPr>
          <w:rFonts w:ascii="Times New Roman" w:hAnsi="Times New Roman" w:cs="Times New Roman"/>
          <w:i/>
          <w:iCs/>
          <w:sz w:val="24"/>
          <w:szCs w:val="24"/>
        </w:rPr>
      </w:pPr>
      <w:r>
        <w:rPr>
          <w:rFonts w:ascii="Times New Roman" w:hAnsi="Times New Roman" w:cs="Times New Roman"/>
          <w:b/>
          <w:bCs/>
          <w:i/>
          <w:iCs/>
          <w:sz w:val="24"/>
          <w:szCs w:val="24"/>
        </w:rPr>
        <w:t>MJERA 7.2:</w:t>
      </w:r>
      <w:r>
        <w:rPr>
          <w:rFonts w:ascii="Times New Roman" w:hAnsi="Times New Roman" w:cs="Times New Roman"/>
          <w:i/>
          <w:iCs/>
          <w:sz w:val="24"/>
          <w:szCs w:val="24"/>
        </w:rPr>
        <w:t xml:space="preserve"> Jačanje digitalne prisutnosti i brending destinacije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7.2.1:</w:t>
      </w:r>
      <w:r>
        <w:rPr>
          <w:rFonts w:ascii="Times New Roman" w:hAnsi="Times New Roman" w:cs="Times New Roman"/>
          <w:sz w:val="24"/>
          <w:szCs w:val="24"/>
        </w:rPr>
        <w:t xml:space="preserve"> Redizajn web stranice destinacije i kreiranje vizualnog identiteta u skladu s vrijednostima održivog turizma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dizajnerski studio / digitalna agencija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2025.–2026.</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EU fondovi / HTZ / vlastita sredstva</w:t>
      </w:r>
    </w:p>
    <w:p w:rsidR="00702E3C" w:rsidRDefault="004B1C83">
      <w:pPr>
        <w:pBdr>
          <w:bottom w:val="single" w:sz="2" w:space="1" w:color="54A021" w:themeColor="accent2"/>
        </w:pBd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posjeta, bounce rate, vrijeme zadržavanja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Aktivnost 7.2.2:</w:t>
      </w:r>
      <w:r>
        <w:rPr>
          <w:rFonts w:ascii="Times New Roman" w:hAnsi="Times New Roman" w:cs="Times New Roman"/>
          <w:sz w:val="24"/>
          <w:szCs w:val="24"/>
        </w:rPr>
        <w:t xml:space="preserve"> Aktivno vođenje društvenih mreža s lokalnim pričama, videima i reportažama (storytelling + destinacijski ambasadori)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Nositelj: TZ</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Partner: lokalni kreativci, influenceri, OPG-ovi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Rok: kontinuirano</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Izvor: TZ / partnerstva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Pokazatelj: broj pratitelja, engagement, broj objava</w:t>
      </w:r>
    </w:p>
    <w:p w:rsidR="00702E3C" w:rsidRDefault="004B1C83">
      <w:pPr>
        <w:pStyle w:val="Naslov2"/>
        <w:numPr>
          <w:ilvl w:val="1"/>
          <w:numId w:val="23"/>
        </w:numPr>
        <w:rPr>
          <w:rFonts w:ascii="Times New Roman" w:hAnsi="Times New Roman" w:cs="Times New Roman"/>
        </w:rPr>
      </w:pPr>
      <w:bookmarkStart w:id="122" w:name="_Toc217040748"/>
      <w:r>
        <w:rPr>
          <w:rFonts w:ascii="Times New Roman" w:hAnsi="Times New Roman" w:cs="Times New Roman"/>
        </w:rPr>
        <w:lastRenderedPageBreak/>
        <w:t>Financijski okvir provedbe mjera i aktivnosti</w:t>
      </w:r>
      <w:bookmarkEnd w:id="122"/>
      <w:r>
        <w:rPr>
          <w:rFonts w:ascii="Times New Roman" w:hAnsi="Times New Roman" w:cs="Times New Roman"/>
        </w:rPr>
        <w:t xml:space="preserve"> </w:t>
      </w:r>
    </w:p>
    <w:p w:rsidR="00702E3C" w:rsidRDefault="00702E3C"/>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Provedba mjera i aktivnosti definiranih u Planu upravljanja turističkom destinacijom Dugi otok – Zverinac – Lavdara zahtijeva realnu i održivu financijsku osnovu. Financijski okvir ima za cilj osigurati usklađenost planiranih aktivnosti s dostupnim i mogućim izvorima financiranja u razdoblju 2025.–2029. godine.</w:t>
      </w: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U ovom poglavlju prikazuju se procijenjeni troškovi za svaku mjeru i pripadajuće aktivnosti, uz naznačene potencijalne izvore financiranja, kao i odgovorne nositelje i partnere u provedbi. Planirano financiranje temelji se na kombinaciji javnih i privatnih izvora: proračuna turističkih zajednica i jedinica lokalne samouprave, nacionalnih i županijskih fondova, EU fondova, partnerstva s privatnim sektorom te mogućim međunarodnim programima suradnje.</w:t>
      </w:r>
    </w:p>
    <w:p w:rsidR="00702E3C" w:rsidRDefault="004B1C83">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Prikazani iznosi su indikativni te služe kao orijentir za planiranje i pripremu prijava na dostupne natječaje i financijske instrumente. Za svaku aktivnost nužno je izraditi detaljniji operativni plan i troškovnik prije faze implementacije, u skladu s važećim zakonodavnim i fiskalnim okvirima.</w:t>
      </w:r>
    </w:p>
    <w:p w:rsidR="00702E3C" w:rsidRDefault="00702E3C">
      <w:pPr>
        <w:pStyle w:val="Odlomakpopisa"/>
        <w:spacing w:line="360" w:lineRule="auto"/>
        <w:ind w:left="0"/>
        <w:jc w:val="both"/>
        <w:rPr>
          <w:rFonts w:ascii="Times New Roman" w:hAnsi="Times New Roman" w:cs="Times New Roman"/>
          <w:sz w:val="24"/>
          <w:szCs w:val="24"/>
        </w:rPr>
      </w:pPr>
    </w:p>
    <w:tbl>
      <w:tblPr>
        <w:tblStyle w:val="Tablicareetke4-isticanje11"/>
        <w:tblW w:w="0" w:type="auto"/>
        <w:tblLook w:val="04A0" w:firstRow="1" w:lastRow="0" w:firstColumn="1" w:lastColumn="0" w:noHBand="0" w:noVBand="1"/>
      </w:tblPr>
      <w:tblGrid>
        <w:gridCol w:w="1129"/>
        <w:gridCol w:w="2268"/>
        <w:gridCol w:w="2039"/>
        <w:gridCol w:w="1813"/>
        <w:gridCol w:w="1813"/>
      </w:tblGrid>
      <w:tr w:rsidR="00702E3C" w:rsidTr="00702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702E3C" w:rsidRDefault="004B1C83">
            <w:pPr>
              <w:pStyle w:val="Odlomakpopisa"/>
              <w:spacing w:after="0" w:line="360" w:lineRule="auto"/>
              <w:ind w:left="0"/>
              <w:rPr>
                <w:rFonts w:ascii="Times New Roman" w:hAnsi="Times New Roman" w:cs="Times New Roman"/>
                <w:b w:val="0"/>
                <w:bCs w:val="0"/>
                <w:sz w:val="20"/>
                <w:szCs w:val="20"/>
              </w:rPr>
            </w:pPr>
            <w:r>
              <w:rPr>
                <w:rFonts w:ascii="Times New Roman" w:hAnsi="Times New Roman" w:cs="Times New Roman"/>
                <w:b w:val="0"/>
                <w:bCs w:val="0"/>
                <w:color w:val="auto"/>
                <w:sz w:val="20"/>
                <w:szCs w:val="20"/>
              </w:rPr>
              <w:t>Prioritet</w:t>
            </w:r>
          </w:p>
        </w:tc>
        <w:tc>
          <w:tcPr>
            <w:tcW w:w="2268" w:type="dxa"/>
          </w:tcPr>
          <w:p w:rsidR="00702E3C" w:rsidRDefault="004B1C83">
            <w:pPr>
              <w:pStyle w:val="Odlomakpopisa"/>
              <w:spacing w:after="0"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color w:val="auto"/>
                <w:sz w:val="20"/>
                <w:szCs w:val="20"/>
              </w:rPr>
              <w:t>Naziv</w:t>
            </w:r>
          </w:p>
        </w:tc>
        <w:tc>
          <w:tcPr>
            <w:tcW w:w="2039" w:type="dxa"/>
          </w:tcPr>
          <w:p w:rsidR="00702E3C" w:rsidRDefault="004B1C83">
            <w:pPr>
              <w:pStyle w:val="Odlomakpopisa"/>
              <w:spacing w:after="0"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color w:val="auto"/>
                <w:sz w:val="20"/>
                <w:szCs w:val="20"/>
              </w:rPr>
              <w:t>Procijenjeni trošak (EUR)</w:t>
            </w:r>
          </w:p>
        </w:tc>
        <w:tc>
          <w:tcPr>
            <w:tcW w:w="1813" w:type="dxa"/>
          </w:tcPr>
          <w:p w:rsidR="00702E3C" w:rsidRDefault="004B1C83">
            <w:pPr>
              <w:pStyle w:val="Odlomakpopisa"/>
              <w:spacing w:after="0"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color w:val="auto"/>
                <w:sz w:val="20"/>
                <w:szCs w:val="20"/>
              </w:rPr>
              <w:t>Mogući izvori sufinanciranja</w:t>
            </w:r>
          </w:p>
        </w:tc>
        <w:tc>
          <w:tcPr>
            <w:tcW w:w="1813" w:type="dxa"/>
          </w:tcPr>
          <w:p w:rsidR="00702E3C" w:rsidRDefault="004B1C83">
            <w:pPr>
              <w:pStyle w:val="Odlomakpopisa"/>
              <w:spacing w:after="0"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color w:val="auto"/>
                <w:sz w:val="20"/>
                <w:szCs w:val="20"/>
              </w:rPr>
              <w:t>Rok provedbe</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shd w:val="clear" w:color="auto" w:fill="E9F6D0" w:themeFill="accent1" w:themeFillTint="33"/>
          </w:tcPr>
          <w:p w:rsidR="00702E3C" w:rsidRDefault="004B1C83">
            <w:pPr>
              <w:pStyle w:val="Odlomakpopisa"/>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P1</w:t>
            </w:r>
          </w:p>
        </w:tc>
        <w:tc>
          <w:tcPr>
            <w:tcW w:w="2268" w:type="dxa"/>
            <w:shd w:val="clear" w:color="auto" w:fill="E9F6D0" w:themeFill="accent1" w:themeFillTint="33"/>
          </w:tcPr>
          <w:p w:rsidR="00702E3C" w:rsidRDefault="004B1C83">
            <w:pPr>
              <w:pStyle w:val="Odlomakpopisa"/>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Upravljanje sezonalnošću</w:t>
            </w:r>
          </w:p>
        </w:tc>
        <w:tc>
          <w:tcPr>
            <w:tcW w:w="2039"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50.000 – 80.000</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HTZ, EU fondovi, TZ</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 – 2029.</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tcPr>
          <w:p w:rsidR="00702E3C" w:rsidRDefault="004B1C83">
            <w:pPr>
              <w:pStyle w:val="Odlomakpopisa"/>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P2</w:t>
            </w:r>
          </w:p>
        </w:tc>
        <w:tc>
          <w:tcPr>
            <w:tcW w:w="2268" w:type="dxa"/>
          </w:tcPr>
          <w:p w:rsidR="00702E3C" w:rsidRDefault="004B1C83">
            <w:pPr>
              <w:pStyle w:val="Odlomakpopisa"/>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Volumen vs. vrijednost</w:t>
            </w:r>
          </w:p>
        </w:tc>
        <w:tc>
          <w:tcPr>
            <w:tcW w:w="2039"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60.000 – 100.000</w:t>
            </w:r>
          </w:p>
        </w:tc>
        <w:tc>
          <w:tcPr>
            <w:tcW w:w="1813"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HTZ, EU fondovi, JLS</w:t>
            </w:r>
          </w:p>
        </w:tc>
        <w:tc>
          <w:tcPr>
            <w:tcW w:w="1813"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 – 2029.</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shd w:val="clear" w:color="auto" w:fill="E9F6D0" w:themeFill="accent1" w:themeFillTint="33"/>
          </w:tcPr>
          <w:p w:rsidR="00702E3C" w:rsidRDefault="004B1C83">
            <w:pPr>
              <w:pStyle w:val="Odlomakpopisa"/>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P3</w:t>
            </w:r>
          </w:p>
        </w:tc>
        <w:tc>
          <w:tcPr>
            <w:tcW w:w="2268" w:type="dxa"/>
            <w:shd w:val="clear" w:color="auto" w:fill="E9F6D0" w:themeFill="accent1" w:themeFillTint="33"/>
          </w:tcPr>
          <w:p w:rsidR="00702E3C" w:rsidRDefault="004B1C83">
            <w:pPr>
              <w:pStyle w:val="Odlomakpopisa"/>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Kvaliteta smještaja i usluga</w:t>
            </w:r>
          </w:p>
        </w:tc>
        <w:tc>
          <w:tcPr>
            <w:tcW w:w="2039"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70.000 – 120.000</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Min. turizma, EU fondovi, TZ</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 – 2029.</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tcPr>
          <w:p w:rsidR="00702E3C" w:rsidRDefault="004B1C83">
            <w:pPr>
              <w:pStyle w:val="Odlomakpopisa"/>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P4</w:t>
            </w:r>
          </w:p>
        </w:tc>
        <w:tc>
          <w:tcPr>
            <w:tcW w:w="2268" w:type="dxa"/>
          </w:tcPr>
          <w:p w:rsidR="00702E3C" w:rsidRDefault="004B1C83">
            <w:pPr>
              <w:pStyle w:val="Odlomakpopisa"/>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Valorizacija atrakcija</w:t>
            </w:r>
          </w:p>
        </w:tc>
        <w:tc>
          <w:tcPr>
            <w:tcW w:w="2039"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80.000 – 150.000</w:t>
            </w:r>
          </w:p>
        </w:tc>
        <w:tc>
          <w:tcPr>
            <w:tcW w:w="1813"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EU fondovi, Ministarstvo kulture, TZ</w:t>
            </w:r>
          </w:p>
        </w:tc>
        <w:tc>
          <w:tcPr>
            <w:tcW w:w="1813"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 – 2029.</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shd w:val="clear" w:color="auto" w:fill="E9F6D0" w:themeFill="accent1" w:themeFillTint="33"/>
          </w:tcPr>
          <w:p w:rsidR="00702E3C" w:rsidRDefault="004B1C83">
            <w:pPr>
              <w:pStyle w:val="Odlomakpopisa"/>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P5</w:t>
            </w:r>
          </w:p>
        </w:tc>
        <w:tc>
          <w:tcPr>
            <w:tcW w:w="2268" w:type="dxa"/>
            <w:shd w:val="clear" w:color="auto" w:fill="E9F6D0" w:themeFill="accent1" w:themeFillTint="33"/>
          </w:tcPr>
          <w:p w:rsidR="00702E3C" w:rsidRDefault="004B1C83">
            <w:pPr>
              <w:pStyle w:val="Odlomakpopisa"/>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Nove usluge za posjetitelje</w:t>
            </w:r>
          </w:p>
        </w:tc>
        <w:tc>
          <w:tcPr>
            <w:tcW w:w="2039"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40.000 – 70.000</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EU fondovi, privatni sektor</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 – 2028.</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tcPr>
          <w:p w:rsidR="00702E3C" w:rsidRDefault="004B1C83">
            <w:pPr>
              <w:pStyle w:val="Odlomakpopisa"/>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P6</w:t>
            </w:r>
          </w:p>
        </w:tc>
        <w:tc>
          <w:tcPr>
            <w:tcW w:w="2268" w:type="dxa"/>
          </w:tcPr>
          <w:p w:rsidR="00702E3C" w:rsidRDefault="004B1C83">
            <w:pPr>
              <w:pStyle w:val="Odlomakpopisa"/>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Edukacija dionika</w:t>
            </w:r>
          </w:p>
        </w:tc>
        <w:tc>
          <w:tcPr>
            <w:tcW w:w="2039"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30.000 – 60.000</w:t>
            </w:r>
          </w:p>
        </w:tc>
        <w:tc>
          <w:tcPr>
            <w:tcW w:w="1813"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ESF+, Ministarstvo turizma, TZ</w:t>
            </w:r>
          </w:p>
        </w:tc>
        <w:tc>
          <w:tcPr>
            <w:tcW w:w="1813"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 – 2027.</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shd w:val="clear" w:color="auto" w:fill="E9F6D0" w:themeFill="accent1" w:themeFillTint="33"/>
          </w:tcPr>
          <w:p w:rsidR="00702E3C" w:rsidRDefault="004B1C83">
            <w:pPr>
              <w:pStyle w:val="Odlomakpopisa"/>
              <w:spacing w:after="0" w:line="360" w:lineRule="auto"/>
              <w:ind w:left="0"/>
              <w:jc w:val="both"/>
              <w:rPr>
                <w:rFonts w:ascii="Times New Roman" w:hAnsi="Times New Roman" w:cs="Times New Roman"/>
                <w:b w:val="0"/>
                <w:bCs w:val="0"/>
                <w:sz w:val="20"/>
                <w:szCs w:val="20"/>
              </w:rPr>
            </w:pPr>
            <w:r>
              <w:rPr>
                <w:rFonts w:ascii="Times New Roman" w:hAnsi="Times New Roman" w:cs="Times New Roman"/>
                <w:b w:val="0"/>
                <w:bCs w:val="0"/>
                <w:sz w:val="20"/>
                <w:szCs w:val="20"/>
              </w:rPr>
              <w:t>P7</w:t>
            </w:r>
          </w:p>
        </w:tc>
        <w:tc>
          <w:tcPr>
            <w:tcW w:w="2268" w:type="dxa"/>
            <w:shd w:val="clear" w:color="auto" w:fill="E9F6D0" w:themeFill="accent1" w:themeFillTint="33"/>
          </w:tcPr>
          <w:p w:rsidR="00702E3C" w:rsidRDefault="004B1C83">
            <w:pPr>
              <w:pStyle w:val="Odlomakpopisa"/>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Brendiranje i tržišta</w:t>
            </w:r>
          </w:p>
        </w:tc>
        <w:tc>
          <w:tcPr>
            <w:tcW w:w="2039"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100.000 – 180.000</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HTZ, EU fondovi, TZ, Županija</w:t>
            </w:r>
          </w:p>
        </w:tc>
        <w:tc>
          <w:tcPr>
            <w:tcW w:w="1813" w:type="dxa"/>
            <w:shd w:val="clear" w:color="auto" w:fill="E9F6D0" w:themeFill="accent1" w:themeFillTint="33"/>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 – 2029.</w:t>
            </w:r>
          </w:p>
        </w:tc>
      </w:tr>
      <w:tr w:rsidR="00702E3C" w:rsidTr="00702E3C">
        <w:tc>
          <w:tcPr>
            <w:cnfStyle w:val="001000000000" w:firstRow="0" w:lastRow="0" w:firstColumn="1" w:lastColumn="0" w:oddVBand="0" w:evenVBand="0" w:oddHBand="0" w:evenHBand="0" w:firstRowFirstColumn="0" w:firstRowLastColumn="0" w:lastRowFirstColumn="0" w:lastRowLastColumn="0"/>
            <w:tcW w:w="1129" w:type="dxa"/>
          </w:tcPr>
          <w:p w:rsidR="00702E3C" w:rsidRDefault="004B1C83">
            <w:pPr>
              <w:pStyle w:val="Odlomakpopisa"/>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Ukupno</w:t>
            </w:r>
          </w:p>
        </w:tc>
        <w:tc>
          <w:tcPr>
            <w:tcW w:w="2268" w:type="dxa"/>
          </w:tcPr>
          <w:p w:rsidR="00702E3C" w:rsidRDefault="00702E3C">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39" w:type="dxa"/>
          </w:tcPr>
          <w:p w:rsidR="00702E3C" w:rsidRDefault="004B1C83">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Cca 760.000,00</w:t>
            </w:r>
          </w:p>
        </w:tc>
        <w:tc>
          <w:tcPr>
            <w:tcW w:w="1813" w:type="dxa"/>
          </w:tcPr>
          <w:p w:rsidR="00702E3C" w:rsidRDefault="00702E3C">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13" w:type="dxa"/>
          </w:tcPr>
          <w:p w:rsidR="00702E3C" w:rsidRDefault="00702E3C">
            <w:pPr>
              <w:pStyle w:val="Odlomakpopisa"/>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702E3C" w:rsidRDefault="00702E3C">
      <w:pPr>
        <w:spacing w:line="360" w:lineRule="auto"/>
        <w:jc w:val="both"/>
        <w:rPr>
          <w:rFonts w:ascii="Times New Roman" w:hAnsi="Times New Roman" w:cs="Times New Roman"/>
          <w:sz w:val="24"/>
          <w:szCs w:val="24"/>
        </w:rPr>
      </w:pPr>
    </w:p>
    <w:p w:rsidR="00702E3C" w:rsidRDefault="00702E3C">
      <w:pPr>
        <w:spacing w:line="360" w:lineRule="auto"/>
        <w:jc w:val="both"/>
        <w:rPr>
          <w:rFonts w:ascii="Times New Roman" w:hAnsi="Times New Roman" w:cs="Times New Roman"/>
          <w:sz w:val="24"/>
          <w:szCs w:val="24"/>
        </w:rPr>
      </w:pPr>
    </w:p>
    <w:p w:rsidR="00702E3C" w:rsidRDefault="004B1C83">
      <w:pPr>
        <w:pStyle w:val="Naslov1"/>
        <w:numPr>
          <w:ilvl w:val="0"/>
          <w:numId w:val="23"/>
        </w:numPr>
        <w:rPr>
          <w:rFonts w:ascii="Times New Roman" w:hAnsi="Times New Roman" w:cs="Times New Roman"/>
          <w:b/>
          <w:bCs/>
        </w:rPr>
      </w:pPr>
      <w:bookmarkStart w:id="123" w:name="_Toc217040749"/>
      <w:r>
        <w:rPr>
          <w:rFonts w:ascii="Times New Roman" w:hAnsi="Times New Roman" w:cs="Times New Roman"/>
          <w:b/>
          <w:bCs/>
        </w:rPr>
        <w:lastRenderedPageBreak/>
        <w:t>SMJERNICE I PREPORUKE ZA DIONIKE RAZVOJA</w:t>
      </w:r>
      <w:bookmarkEnd w:id="123"/>
    </w:p>
    <w:p w:rsidR="00702E3C" w:rsidRDefault="00702E3C"/>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 temelju definiranih razvojnih smjerova, ciljeva, mjera i aktivnosti u ovom Planu upravljanja, nužno je osigurati koordinirano i učinkovito sudjelovanje svih relevantnih dionika u razvoju destinacije. Smjernice i preporuke temeljene su na principima održivosti, participativnog upravljanja, zakonodavnom okviru te Strategiji razvoja održivog turizma RH do 2030., uz uvažavanje specifičnosti destinacije Dugi otok – Zverinac – Lavdara.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Ove smjernice predstavljaju operativni okvir kojim se dionici usmjeravaju prema zajedničkom cilju – razvoju cjelogodišnje, kvalitetne, odgovorne i lokalno ukorijenjene turističke ponude.</w:t>
      </w:r>
    </w:p>
    <w:p w:rsidR="00702E3C" w:rsidRDefault="004B1C83">
      <w:pPr>
        <w:pStyle w:val="Naslov2"/>
        <w:numPr>
          <w:ilvl w:val="1"/>
          <w:numId w:val="23"/>
        </w:numPr>
        <w:rPr>
          <w:rFonts w:ascii="Times New Roman" w:hAnsi="Times New Roman" w:cs="Times New Roman"/>
        </w:rPr>
      </w:pPr>
      <w:bookmarkStart w:id="124" w:name="_Toc217040750"/>
      <w:r>
        <w:rPr>
          <w:rFonts w:ascii="Times New Roman" w:hAnsi="Times New Roman" w:cs="Times New Roman"/>
        </w:rPr>
        <w:t>Smjernice i preporuke za jedinice lokalne samouprave</w:t>
      </w:r>
      <w:bookmarkEnd w:id="124"/>
    </w:p>
    <w:p w:rsidR="00702E3C" w:rsidRDefault="00702E3C">
      <w:pPr>
        <w:spacing w:line="360" w:lineRule="auto"/>
        <w:jc w:val="both"/>
        <w:rPr>
          <w:rFonts w:ascii="Times New Roman" w:hAnsi="Times New Roman" w:cs="Times New Roman"/>
          <w:sz w:val="24"/>
          <w:szCs w:val="24"/>
        </w:rPr>
      </w:pPr>
    </w:p>
    <w:p w:rsidR="00702E3C" w:rsidRDefault="004B1C83">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Uključiti turistički razvoj u sve relevantne razvojne i prostorne planove općine i županije.</w:t>
      </w:r>
    </w:p>
    <w:p w:rsidR="00702E3C" w:rsidRDefault="004B1C83">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Donijeti odluke predstavničkog tijela temeljem stručne podloge (npr. o kapacitetima ugostiteljskih i smještajnih objekata, upravljanju turističkim tokovima, uvođenju turističkog ekološkog doprinosa).</w:t>
      </w:r>
    </w:p>
    <w:p w:rsidR="00702E3C" w:rsidRDefault="004B1C83">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sudjelovati u procesu izračuna prihvatnih kapaciteta destinacije.</w:t>
      </w:r>
    </w:p>
    <w:p w:rsidR="00702E3C" w:rsidRDefault="004B1C83">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Jačati prometnu i komunalnu infrastrukturu u funkciji održivog turizma (npr. biciklističke staze, opskrba vodom i strujom u turističkoj sezoni).</w:t>
      </w:r>
    </w:p>
    <w:p w:rsidR="00702E3C" w:rsidRDefault="004B1C83">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Podržati projekte valorizacije kulturne i prirodne baštine uključene u turističku ponudu.</w:t>
      </w:r>
    </w:p>
    <w:p w:rsidR="00702E3C" w:rsidRDefault="004B1C83">
      <w:pPr>
        <w:pStyle w:val="Odlomakpopisa"/>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Uspostaviti redovnu koordinaciju s turističkim zajednicama na strateškoj i operativnoj razini.</w:t>
      </w:r>
    </w:p>
    <w:p w:rsidR="00702E3C" w:rsidRDefault="004B1C83">
      <w:pPr>
        <w:pStyle w:val="Naslov2"/>
        <w:numPr>
          <w:ilvl w:val="1"/>
          <w:numId w:val="23"/>
        </w:numPr>
        <w:rPr>
          <w:rFonts w:ascii="Times New Roman" w:hAnsi="Times New Roman" w:cs="Times New Roman"/>
        </w:rPr>
      </w:pPr>
      <w:bookmarkStart w:id="125" w:name="_Toc217040751"/>
      <w:r>
        <w:rPr>
          <w:rFonts w:ascii="Times New Roman" w:hAnsi="Times New Roman" w:cs="Times New Roman"/>
        </w:rPr>
        <w:t>Smjernice i preporuke za turističke zajednice</w:t>
      </w:r>
      <w:bookmarkEnd w:id="125"/>
    </w:p>
    <w:p w:rsidR="00702E3C" w:rsidRDefault="00702E3C"/>
    <w:p w:rsidR="00702E3C" w:rsidRDefault="004B1C83">
      <w:pPr>
        <w:pStyle w:val="Odlomakpopis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sudjelovati u provedbi Plana upravljanja destinacijom i redovito ga ažurirati u suradnji s JLS-om.</w:t>
      </w:r>
    </w:p>
    <w:p w:rsidR="00702E3C" w:rsidRDefault="004B1C83">
      <w:pPr>
        <w:pStyle w:val="Odlomakpopis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Uključiti dionike kroz organizaciju radionica, javnih savjetovanja i okruglih stolova.</w:t>
      </w:r>
    </w:p>
    <w:p w:rsidR="00702E3C" w:rsidRDefault="004B1C83">
      <w:pPr>
        <w:pStyle w:val="Odlomakpopis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Koristiti aplikativna rješenja MINTS-a za upravljanje turističkim tokovima i planiranjem aktivnosti.</w:t>
      </w:r>
    </w:p>
    <w:p w:rsidR="00702E3C" w:rsidRDefault="004B1C83">
      <w:pPr>
        <w:pStyle w:val="Odlomakpopis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Razviti i implementirati destinacijski brend u suradnji s dionicima i strateškim partnerima.</w:t>
      </w:r>
    </w:p>
    <w:p w:rsidR="00702E3C" w:rsidRDefault="004B1C83">
      <w:pPr>
        <w:pStyle w:val="Odlomakpopis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Organizirati edukacije za pružatelje usluga u turizmu (certifikacije, interpretacijske radionice, digitalna promocija).</w:t>
      </w:r>
    </w:p>
    <w:p w:rsidR="00702E3C" w:rsidRDefault="004B1C83">
      <w:pPr>
        <w:pStyle w:val="Odlomakpopis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raditi na unapređenju izvansezonske ponude i pozicioniranju destinacije na odabrana tržišta.</w:t>
      </w:r>
    </w:p>
    <w:p w:rsidR="00702E3C" w:rsidRDefault="004B1C83">
      <w:pPr>
        <w:pStyle w:val="Odlomakpopisa"/>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Pratiti pokazatelje održivosti i izvještavati MINTS sukladno nacionalnim indikatorima.</w:t>
      </w:r>
    </w:p>
    <w:p w:rsidR="00702E3C" w:rsidRDefault="004B1C83">
      <w:pPr>
        <w:pStyle w:val="Naslov2"/>
        <w:numPr>
          <w:ilvl w:val="1"/>
          <w:numId w:val="23"/>
        </w:numPr>
        <w:rPr>
          <w:rFonts w:ascii="Times New Roman" w:hAnsi="Times New Roman" w:cs="Times New Roman"/>
        </w:rPr>
      </w:pPr>
      <w:bookmarkStart w:id="126" w:name="_Toc217040752"/>
      <w:r>
        <w:rPr>
          <w:rFonts w:ascii="Times New Roman" w:hAnsi="Times New Roman" w:cs="Times New Roman"/>
        </w:rPr>
        <w:t>Smjernice i preporuke za druge dionike u turizmu i upravljanju turizmom u destinaciji</w:t>
      </w:r>
      <w:bookmarkEnd w:id="126"/>
    </w:p>
    <w:p w:rsidR="00702E3C" w:rsidRDefault="00702E3C"/>
    <w:p w:rsidR="00702E3C" w:rsidRDefault="004B1C83">
      <w:pPr>
        <w:pStyle w:val="Odlomakpopis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Aktivno se uključivati u planiranje i provedbu mjera putem participativnih mehanizama (ankete, forumi, savjetovanja).</w:t>
      </w:r>
    </w:p>
    <w:p w:rsidR="00702E3C" w:rsidRDefault="004B1C83">
      <w:pPr>
        <w:pStyle w:val="Odlomakpopis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Razvijati zajedničke proizvode i itinerere (npr. kulturno-gastronomske ture, tematski vikendi).</w:t>
      </w:r>
    </w:p>
    <w:p w:rsidR="00702E3C" w:rsidRDefault="004B1C83">
      <w:pPr>
        <w:pStyle w:val="Odlomakpopis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Ulagati u kvalitetu usluge, edukaciju zaposlenika i standarde održivosti.</w:t>
      </w:r>
    </w:p>
    <w:p w:rsidR="00702E3C" w:rsidRDefault="004B1C83">
      <w:pPr>
        <w:pStyle w:val="Odlomakpopis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Poticati uključivanje lokalne zajednice, OPG-ova, škola i udruga u turizam kroz inovativne modele.</w:t>
      </w:r>
    </w:p>
    <w:p w:rsidR="00702E3C" w:rsidRDefault="004B1C83">
      <w:pPr>
        <w:pStyle w:val="Odlomakpopis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Primjenjivati zelene i digitalne alate u poslovanju.</w:t>
      </w:r>
    </w:p>
    <w:p w:rsidR="00702E3C" w:rsidRDefault="004B1C83">
      <w:pPr>
        <w:pStyle w:val="Odlomakpopis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Sudjelovati u javnim pozivima i projektima koji se financiraju iz nacionalnih i EU izvora.</w:t>
      </w:r>
    </w:p>
    <w:p w:rsidR="00702E3C" w:rsidRDefault="004B1C83">
      <w:pPr>
        <w:pStyle w:val="Odlomakpopisa"/>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Uključiti se u brendiranje destinacije i zajedničke promotivne aktivnosti.</w:t>
      </w:r>
    </w:p>
    <w:p w:rsidR="00702E3C" w:rsidRDefault="004B1C83">
      <w:pPr>
        <w:pStyle w:val="Naslov1"/>
        <w:numPr>
          <w:ilvl w:val="0"/>
          <w:numId w:val="23"/>
        </w:numPr>
        <w:rPr>
          <w:rFonts w:ascii="Times New Roman" w:hAnsi="Times New Roman" w:cs="Times New Roman"/>
          <w:b/>
          <w:bCs/>
        </w:rPr>
      </w:pPr>
      <w:bookmarkStart w:id="127" w:name="_Toc217040753"/>
      <w:r>
        <w:rPr>
          <w:rFonts w:ascii="Times New Roman" w:hAnsi="Times New Roman" w:cs="Times New Roman"/>
          <w:b/>
          <w:bCs/>
        </w:rPr>
        <w:t>POPIS PROJEKATA</w:t>
      </w:r>
      <w:bookmarkEnd w:id="127"/>
    </w:p>
    <w:p w:rsidR="00702E3C" w:rsidRDefault="004B1C83">
      <w:pPr>
        <w:pStyle w:val="Naslov2"/>
        <w:numPr>
          <w:ilvl w:val="1"/>
          <w:numId w:val="23"/>
        </w:numPr>
        <w:rPr>
          <w:rFonts w:ascii="Times New Roman" w:hAnsi="Times New Roman" w:cs="Times New Roman"/>
        </w:rPr>
      </w:pPr>
      <w:bookmarkStart w:id="128" w:name="_Toc217040754"/>
      <w:r>
        <w:rPr>
          <w:rFonts w:ascii="Times New Roman" w:hAnsi="Times New Roman" w:cs="Times New Roman"/>
        </w:rPr>
        <w:t>Nacionalni projekti i projekti JLS-a</w:t>
      </w:r>
      <w:bookmarkEnd w:id="128"/>
    </w:p>
    <w:p w:rsidR="00702E3C" w:rsidRDefault="004B1C83">
      <w:pPr>
        <w:pStyle w:val="Naslov3"/>
        <w:numPr>
          <w:ilvl w:val="2"/>
          <w:numId w:val="23"/>
        </w:numPr>
        <w:shd w:val="clear" w:color="auto" w:fill="F8D1CC" w:themeFill="accent5" w:themeFillTint="33"/>
        <w:rPr>
          <w:rFonts w:ascii="Times New Roman" w:hAnsi="Times New Roman" w:cs="Times New Roman"/>
        </w:rPr>
      </w:pPr>
      <w:bookmarkStart w:id="129" w:name="_Toc217040755"/>
      <w:r>
        <w:rPr>
          <w:rFonts w:ascii="Times New Roman" w:hAnsi="Times New Roman" w:cs="Times New Roman"/>
        </w:rPr>
        <w:t>Rekonstrukcija pristaništa u Brbinju</w:t>
      </w:r>
      <w:bookmarkEnd w:id="129"/>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Opis i svrha: Poboljšanje dostupnosti otoka i sigurnosti uplova u skladu s prihvatnim kapacitetima.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Posebni značaj: DA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Doprinos pokazateljima održivosti: Smanjenje sezonskog pritiska na Sali, bolja disperzija dolazaka.</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Strateški doprinos: Strategija turizma ZŽ 2030 (ciljevi C.1.2 i C.3.3)</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Nositelj: Županijska lučka uprava Zadar, Općina Sali</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Partneri: Ministarstvo mora i infrastrukture, MINTS</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Lokacija: Brbinj</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Rokovi: 2026–2028.</w:t>
      </w:r>
    </w:p>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Procijenjena vrijednost: 2.300.000 € (EU fondovi + proračun RH)</w:t>
      </w:r>
    </w:p>
    <w:p w:rsidR="00702E3C" w:rsidRDefault="004B1C83">
      <w:pPr>
        <w:rPr>
          <w:rFonts w:ascii="Times New Roman" w:hAnsi="Times New Roman" w:cs="Times New Roman"/>
          <w:sz w:val="24"/>
          <w:szCs w:val="24"/>
        </w:rPr>
      </w:pPr>
      <w:r>
        <w:rPr>
          <w:rFonts w:ascii="Times New Roman" w:hAnsi="Times New Roman" w:cs="Times New Roman"/>
          <w:sz w:val="24"/>
          <w:szCs w:val="24"/>
        </w:rPr>
        <w:t>Status dokumentacije: Glavni projekt u izradi</w:t>
      </w:r>
    </w:p>
    <w:p w:rsidR="00702E3C" w:rsidRDefault="00702E3C">
      <w:pPr>
        <w:rPr>
          <w:rFonts w:ascii="Times New Roman" w:hAnsi="Times New Roman" w:cs="Times New Roman"/>
          <w:sz w:val="24"/>
          <w:szCs w:val="24"/>
        </w:rPr>
      </w:pPr>
    </w:p>
    <w:p w:rsidR="00702E3C" w:rsidRDefault="004B1C83">
      <w:pPr>
        <w:pStyle w:val="Naslov2"/>
        <w:numPr>
          <w:ilvl w:val="1"/>
          <w:numId w:val="23"/>
        </w:numPr>
        <w:rPr>
          <w:rFonts w:ascii="Times New Roman" w:hAnsi="Times New Roman" w:cs="Times New Roman"/>
        </w:rPr>
      </w:pPr>
      <w:bookmarkStart w:id="130" w:name="_Toc217040756"/>
      <w:r>
        <w:rPr>
          <w:rFonts w:ascii="Times New Roman" w:hAnsi="Times New Roman" w:cs="Times New Roman"/>
        </w:rPr>
        <w:t>Projekti Turističke zajednice</w:t>
      </w:r>
      <w:bookmarkEnd w:id="130"/>
    </w:p>
    <w:p w:rsidR="00702E3C" w:rsidRDefault="00702E3C"/>
    <w:tbl>
      <w:tblPr>
        <w:tblStyle w:val="Reetkatablice"/>
        <w:tblW w:w="0" w:type="auto"/>
        <w:tblLook w:val="04A0" w:firstRow="1" w:lastRow="0" w:firstColumn="1" w:lastColumn="0" w:noHBand="0" w:noVBand="1"/>
      </w:tblPr>
      <w:tblGrid>
        <w:gridCol w:w="2463"/>
        <w:gridCol w:w="1589"/>
        <w:gridCol w:w="2888"/>
        <w:gridCol w:w="2122"/>
      </w:tblGrid>
      <w:tr w:rsidR="00702E3C">
        <w:tc>
          <w:tcPr>
            <w:tcW w:w="9288" w:type="dxa"/>
            <w:gridSpan w:val="4"/>
            <w:shd w:val="clear" w:color="auto" w:fill="F8D2CC" w:themeFill="accent5" w:themeFillTint="32"/>
          </w:tcPr>
          <w:p w:rsidR="00702E3C" w:rsidRDefault="004B1C83">
            <w:pPr>
              <w:numPr>
                <w:ilvl w:val="2"/>
                <w:numId w:val="23"/>
              </w:numPr>
            </w:pPr>
            <w:r>
              <w:rPr>
                <w:b/>
              </w:rPr>
              <w:t xml:space="preserve"> Multifunkcionalni centar ribarske baštine "Soliona"</w:t>
            </w:r>
          </w:p>
        </w:tc>
      </w:tr>
      <w:tr w:rsidR="00702E3C">
        <w:tc>
          <w:tcPr>
            <w:tcW w:w="2620" w:type="dxa"/>
          </w:tcPr>
          <w:p w:rsidR="00702E3C" w:rsidRDefault="004B1C83">
            <w:r>
              <w:t>OPIS PROJEKTA</w:t>
            </w:r>
          </w:p>
        </w:tc>
        <w:tc>
          <w:tcPr>
            <w:tcW w:w="6668" w:type="dxa"/>
            <w:gridSpan w:val="3"/>
          </w:tcPr>
          <w:p w:rsidR="00702E3C" w:rsidRDefault="004B1C83">
            <w:r>
              <w:t>Realizacija društvenog multifunkcionalnog prostora koji bi se koristio za prezentaciju, edukaciju, sport i gastronomiju. Ova multifunkcionalnost nam je bitna, osobito jer će biti korišten od strane mladih i posjetitelja.</w:t>
            </w:r>
          </w:p>
        </w:tc>
      </w:tr>
      <w:tr w:rsidR="00702E3C">
        <w:tc>
          <w:tcPr>
            <w:tcW w:w="2620" w:type="dxa"/>
          </w:tcPr>
          <w:p w:rsidR="00702E3C" w:rsidRDefault="004B1C83">
            <w:r>
              <w:t>DOPRINOS OSTVARENJU POKAZATELJA ODRŽIVOSTI</w:t>
            </w:r>
          </w:p>
        </w:tc>
        <w:tc>
          <w:tcPr>
            <w:tcW w:w="6668" w:type="dxa"/>
            <w:gridSpan w:val="3"/>
          </w:tcPr>
          <w:p w:rsidR="00702E3C" w:rsidRDefault="004B1C83">
            <w:r>
              <w:t>Derutne zgrade će se pretvoiti u funkcionalan prostor koji će potaknuti mlade i posjetitelje na sport, te edukaciju i druženje. Zgrade će biti uređene sa obnovljivim izvorima energije te će se korostiti kišnica.</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39"/>
              </w:numPr>
            </w:pPr>
            <w:r>
              <w:t>Općina Sali</w:t>
            </w:r>
          </w:p>
        </w:tc>
        <w:tc>
          <w:tcPr>
            <w:tcW w:w="2774" w:type="dxa"/>
          </w:tcPr>
          <w:p w:rsidR="00702E3C" w:rsidRDefault="004B1C83">
            <w:r>
              <w:t>LOKACIJA PROVEDBE</w:t>
            </w:r>
          </w:p>
        </w:tc>
        <w:tc>
          <w:tcPr>
            <w:tcW w:w="1972" w:type="dxa"/>
          </w:tcPr>
          <w:p w:rsidR="00702E3C" w:rsidRDefault="004B1C83">
            <w:r>
              <w:t>Veli Rat</w:t>
            </w:r>
          </w:p>
        </w:tc>
      </w:tr>
      <w:tr w:rsidR="00702E3C">
        <w:tc>
          <w:tcPr>
            <w:tcW w:w="2620" w:type="dxa"/>
          </w:tcPr>
          <w:p w:rsidR="00702E3C" w:rsidRDefault="004B1C83">
            <w:r>
              <w:t>POČETAK PROVEDBE</w:t>
            </w:r>
          </w:p>
        </w:tc>
        <w:tc>
          <w:tcPr>
            <w:tcW w:w="1922" w:type="dxa"/>
          </w:tcPr>
          <w:p w:rsidR="00702E3C" w:rsidRDefault="004B1C83">
            <w:r>
              <w:t>2025.</w:t>
            </w:r>
          </w:p>
        </w:tc>
        <w:tc>
          <w:tcPr>
            <w:tcW w:w="2774" w:type="dxa"/>
          </w:tcPr>
          <w:p w:rsidR="00702E3C" w:rsidRDefault="004B1C83">
            <w:r>
              <w:t>ZAVRŠETAK PROVEDBE</w:t>
            </w:r>
          </w:p>
        </w:tc>
        <w:tc>
          <w:tcPr>
            <w:tcW w:w="1972" w:type="dxa"/>
          </w:tcPr>
          <w:p w:rsidR="00702E3C" w:rsidRDefault="004B1C83">
            <w:r>
              <w:t>2026.</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Sportski centar(mali nogomet i košarka)</w:t>
            </w:r>
          </w:p>
          <w:p w:rsidR="00702E3C" w:rsidRDefault="004B1C83">
            <w:pPr>
              <w:pStyle w:val="Odlomakpopisa"/>
              <w:numPr>
                <w:ilvl w:val="0"/>
                <w:numId w:val="39"/>
              </w:numPr>
            </w:pPr>
            <w:r>
              <w:t>predstavljanje baštine</w:t>
            </w:r>
          </w:p>
          <w:p w:rsidR="00702E3C" w:rsidRDefault="004B1C83">
            <w:pPr>
              <w:pStyle w:val="Odlomakpopisa"/>
              <w:numPr>
                <w:ilvl w:val="0"/>
                <w:numId w:val="39"/>
              </w:numPr>
            </w:pPr>
            <w:r>
              <w:t xml:space="preserve"> zadržavanje mladih</w:t>
            </w:r>
          </w:p>
          <w:p w:rsidR="00702E3C" w:rsidRDefault="004B1C83">
            <w:pPr>
              <w:pStyle w:val="Odlomakpopisa"/>
              <w:numPr>
                <w:ilvl w:val="0"/>
                <w:numId w:val="39"/>
              </w:numPr>
            </w:pPr>
            <w:r>
              <w:t>zdrav život</w:t>
            </w:r>
          </w:p>
        </w:tc>
      </w:tr>
      <w:tr w:rsidR="00702E3C">
        <w:tc>
          <w:tcPr>
            <w:tcW w:w="2620" w:type="dxa"/>
          </w:tcPr>
          <w:p w:rsidR="00702E3C" w:rsidRDefault="004B1C83">
            <w:r>
              <w:t>VRIJEDNOST PROJEKTA</w:t>
            </w:r>
          </w:p>
        </w:tc>
        <w:tc>
          <w:tcPr>
            <w:tcW w:w="1922" w:type="dxa"/>
          </w:tcPr>
          <w:p w:rsidR="00702E3C" w:rsidRDefault="004B1C83">
            <w:r>
              <w:t>1.300.000,00</w:t>
            </w:r>
          </w:p>
        </w:tc>
        <w:tc>
          <w:tcPr>
            <w:tcW w:w="2774" w:type="dxa"/>
          </w:tcPr>
          <w:p w:rsidR="00702E3C" w:rsidRDefault="004B1C83">
            <w:r>
              <w:t>VLASTITA SREDSTVA/SUFINANCIRANJE</w:t>
            </w:r>
          </w:p>
        </w:tc>
        <w:tc>
          <w:tcPr>
            <w:tcW w:w="1972" w:type="dxa"/>
          </w:tcPr>
          <w:p w:rsidR="00702E3C" w:rsidRDefault="004B1C83">
            <w:r>
              <w:t>vlastita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DA</w:t>
            </w:r>
          </w:p>
        </w:tc>
      </w:tr>
    </w:tbl>
    <w:p w:rsidR="00702E3C" w:rsidRDefault="00702E3C"/>
    <w:p w:rsidR="00702E3C" w:rsidRDefault="00702E3C"/>
    <w:p w:rsidR="00702E3C" w:rsidRDefault="00702E3C"/>
    <w:tbl>
      <w:tblPr>
        <w:tblStyle w:val="Reetkatablice"/>
        <w:tblW w:w="0" w:type="auto"/>
        <w:tblLook w:val="04A0" w:firstRow="1" w:lastRow="0" w:firstColumn="1" w:lastColumn="0" w:noHBand="0" w:noVBand="1"/>
      </w:tblPr>
      <w:tblGrid>
        <w:gridCol w:w="2463"/>
        <w:gridCol w:w="1589"/>
        <w:gridCol w:w="2888"/>
        <w:gridCol w:w="2122"/>
      </w:tblGrid>
      <w:tr w:rsidR="00702E3C">
        <w:tc>
          <w:tcPr>
            <w:tcW w:w="9288" w:type="dxa"/>
            <w:gridSpan w:val="4"/>
            <w:shd w:val="clear" w:color="auto" w:fill="F8D2CC" w:themeFill="accent5" w:themeFillTint="32"/>
          </w:tcPr>
          <w:p w:rsidR="00702E3C" w:rsidRDefault="004B1C83">
            <w:r>
              <w:rPr>
                <w:b/>
              </w:rPr>
              <w:t>16.2.2.         Od jedra do baštine – Maritimni mozaik Dugog otoka i Kornata</w:t>
            </w:r>
          </w:p>
        </w:tc>
      </w:tr>
      <w:tr w:rsidR="00702E3C">
        <w:tc>
          <w:tcPr>
            <w:tcW w:w="2620" w:type="dxa"/>
          </w:tcPr>
          <w:p w:rsidR="00702E3C" w:rsidRDefault="004B1C83">
            <w:r>
              <w:t>OPIS PROJEKTA</w:t>
            </w:r>
          </w:p>
        </w:tc>
        <w:tc>
          <w:tcPr>
            <w:tcW w:w="6668" w:type="dxa"/>
            <w:gridSpan w:val="3"/>
          </w:tcPr>
          <w:p w:rsidR="00702E3C" w:rsidRDefault="004B1C83">
            <w:r>
              <w:t>Ovaj projekt spaja jedrenje, maritimnu baštinu i digitalne tehnologije u inovativnu edukativnu i participativnu rutu koja istražuje antičke ribnjake, rimske vile, ranokršćanske crkve i bizantske utvrde. Aktivnosti uključuju mlade i lokalne udruge, koriste GoPro, VR i QR tehnologiju te pozicioniraju Dugi otok i Kornate kao primjer održivog aktivnog turizma s dubokom povijesnom dimenzijom.</w:t>
            </w:r>
          </w:p>
        </w:tc>
      </w:tr>
      <w:tr w:rsidR="00702E3C">
        <w:tc>
          <w:tcPr>
            <w:tcW w:w="2620" w:type="dxa"/>
          </w:tcPr>
          <w:p w:rsidR="00702E3C" w:rsidRDefault="004B1C83">
            <w:r>
              <w:t>DOPRINOS OSTVARENJU POKAZATELJA ODRŽIVOSTI</w:t>
            </w:r>
          </w:p>
        </w:tc>
        <w:tc>
          <w:tcPr>
            <w:tcW w:w="6668" w:type="dxa"/>
            <w:gridSpan w:val="3"/>
          </w:tcPr>
          <w:p w:rsidR="00702E3C" w:rsidRDefault="004B1C83">
            <w:r>
              <w:t>Prezentacija i valorizacija arheološke baštine.</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39"/>
              </w:numPr>
            </w:pPr>
            <w:r>
              <w:t>Općina Sali</w:t>
            </w:r>
          </w:p>
          <w:p w:rsidR="00702E3C" w:rsidRDefault="004B1C83">
            <w:pPr>
              <w:pStyle w:val="Odlomakpopisa"/>
              <w:numPr>
                <w:ilvl w:val="0"/>
                <w:numId w:val="39"/>
              </w:numPr>
            </w:pPr>
            <w:r>
              <w:t>TZO Sali</w:t>
            </w:r>
          </w:p>
        </w:tc>
        <w:tc>
          <w:tcPr>
            <w:tcW w:w="2774" w:type="dxa"/>
          </w:tcPr>
          <w:p w:rsidR="00702E3C" w:rsidRDefault="004B1C83">
            <w:r>
              <w:t>LOKACIJA PROVEDBE</w:t>
            </w:r>
          </w:p>
        </w:tc>
        <w:tc>
          <w:tcPr>
            <w:tcW w:w="1972" w:type="dxa"/>
          </w:tcPr>
          <w:p w:rsidR="00702E3C" w:rsidRDefault="004B1C83">
            <w:pPr>
              <w:pStyle w:val="Odlomakpopisa"/>
              <w:numPr>
                <w:ilvl w:val="0"/>
                <w:numId w:val="40"/>
              </w:numPr>
            </w:pPr>
            <w:r>
              <w:t>Dugi otok</w:t>
            </w:r>
          </w:p>
          <w:p w:rsidR="00702E3C" w:rsidRDefault="004B1C83">
            <w:pPr>
              <w:pStyle w:val="Odlomakpopisa"/>
              <w:numPr>
                <w:ilvl w:val="0"/>
                <w:numId w:val="40"/>
              </w:numPr>
            </w:pPr>
            <w:r>
              <w:t>Kornati</w:t>
            </w: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2027.</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3D rekonstrukcija lokaliteta</w:t>
            </w:r>
          </w:p>
          <w:p w:rsidR="00702E3C" w:rsidRDefault="004B1C83">
            <w:pPr>
              <w:pStyle w:val="Odlomakpopisa"/>
              <w:numPr>
                <w:ilvl w:val="0"/>
                <w:numId w:val="39"/>
              </w:numPr>
            </w:pPr>
            <w:r>
              <w:t xml:space="preserve"> VR šetnja</w:t>
            </w:r>
          </w:p>
          <w:p w:rsidR="00702E3C" w:rsidRDefault="004B1C83">
            <w:pPr>
              <w:pStyle w:val="Odlomakpopisa"/>
              <w:numPr>
                <w:ilvl w:val="0"/>
                <w:numId w:val="39"/>
              </w:numPr>
            </w:pPr>
            <w:r>
              <w:t xml:space="preserve"> interaktivna karta</w:t>
            </w:r>
          </w:p>
        </w:tc>
      </w:tr>
      <w:tr w:rsidR="00702E3C">
        <w:tc>
          <w:tcPr>
            <w:tcW w:w="2620" w:type="dxa"/>
          </w:tcPr>
          <w:p w:rsidR="00702E3C" w:rsidRDefault="004B1C83">
            <w:r>
              <w:t>VRIJEDNOST PROJEKTA</w:t>
            </w:r>
          </w:p>
        </w:tc>
        <w:tc>
          <w:tcPr>
            <w:tcW w:w="1922" w:type="dxa"/>
          </w:tcPr>
          <w:p w:rsidR="00702E3C" w:rsidRDefault="004B1C83">
            <w:r>
              <w:t>300.000,00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NE</w:t>
            </w:r>
          </w:p>
        </w:tc>
      </w:tr>
    </w:tbl>
    <w:p w:rsidR="00702E3C" w:rsidRDefault="00702E3C"/>
    <w:p w:rsidR="00702E3C" w:rsidRDefault="00702E3C"/>
    <w:tbl>
      <w:tblPr>
        <w:tblStyle w:val="Reetkatablice"/>
        <w:tblW w:w="0" w:type="auto"/>
        <w:tblLook w:val="04A0" w:firstRow="1" w:lastRow="0" w:firstColumn="1" w:lastColumn="0" w:noHBand="0" w:noVBand="1"/>
      </w:tblPr>
      <w:tblGrid>
        <w:gridCol w:w="2348"/>
        <w:gridCol w:w="1940"/>
        <w:gridCol w:w="2750"/>
        <w:gridCol w:w="2024"/>
      </w:tblGrid>
      <w:tr w:rsidR="00702E3C">
        <w:tc>
          <w:tcPr>
            <w:tcW w:w="9288" w:type="dxa"/>
            <w:gridSpan w:val="4"/>
            <w:shd w:val="clear" w:color="auto" w:fill="F8D2CC" w:themeFill="accent5" w:themeFillTint="32"/>
          </w:tcPr>
          <w:p w:rsidR="00702E3C" w:rsidRDefault="004B1C83">
            <w:r>
              <w:rPr>
                <w:b/>
              </w:rPr>
              <w:t>16.2.3.           VREMENSKI MOSTOVI – Rimljani i Hrvati između mora i kamena</w:t>
            </w:r>
          </w:p>
        </w:tc>
      </w:tr>
      <w:tr w:rsidR="00702E3C">
        <w:tc>
          <w:tcPr>
            <w:tcW w:w="2620" w:type="dxa"/>
          </w:tcPr>
          <w:p w:rsidR="00702E3C" w:rsidRDefault="004B1C83">
            <w:r>
              <w:t>OPIS PROJEKTA</w:t>
            </w:r>
          </w:p>
        </w:tc>
        <w:tc>
          <w:tcPr>
            <w:tcW w:w="6668" w:type="dxa"/>
            <w:gridSpan w:val="3"/>
          </w:tcPr>
          <w:p w:rsidR="00702E3C" w:rsidRDefault="004B1C83">
            <w:r>
              <w:t>Projekt se bavi valorizacijom slojevite antičke i srednjovjekovne kulturne baštine na otocima i perifernim područjima Jadrana kroz održivi kulturni turizam, digitalnu interpretaciju (VR, QR, AR) i prekograničnu suradnju. Temelji se na pilot-području Dugog otoka i Kornata, uz aktivnu uključenost lokalnih zajednica i stručnjaka.</w:t>
            </w:r>
          </w:p>
        </w:tc>
      </w:tr>
      <w:tr w:rsidR="00702E3C">
        <w:tc>
          <w:tcPr>
            <w:tcW w:w="2620" w:type="dxa"/>
          </w:tcPr>
          <w:p w:rsidR="00702E3C" w:rsidRDefault="004B1C83">
            <w:r>
              <w:t xml:space="preserve">DOPRINOS OSTVARENJU </w:t>
            </w:r>
            <w:r>
              <w:lastRenderedPageBreak/>
              <w:t>POKAZATELJA ODRŽIVOSTI</w:t>
            </w:r>
          </w:p>
        </w:tc>
        <w:tc>
          <w:tcPr>
            <w:tcW w:w="6668" w:type="dxa"/>
            <w:gridSpan w:val="3"/>
          </w:tcPr>
          <w:p w:rsidR="00702E3C" w:rsidRDefault="004B1C83">
            <w:r>
              <w:lastRenderedPageBreak/>
              <w:t>Razvijen akcijski plan za očuvanje i promociju kulturne baštine; razvijena digitalna rješenja; sudjelovanje mladih i prekogranične suradnje; valotizacija baštine</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39"/>
              </w:numPr>
            </w:pPr>
            <w:r>
              <w:t>JU PPTelašćica</w:t>
            </w:r>
          </w:p>
          <w:p w:rsidR="00702E3C" w:rsidRDefault="004B1C83">
            <w:pPr>
              <w:pStyle w:val="Odlomakpopisa"/>
              <w:numPr>
                <w:ilvl w:val="0"/>
                <w:numId w:val="39"/>
              </w:numPr>
            </w:pPr>
            <w:r>
              <w:t>TZO Sali</w:t>
            </w:r>
          </w:p>
          <w:p w:rsidR="00702E3C" w:rsidRDefault="004B1C83">
            <w:pPr>
              <w:pStyle w:val="Odlomakpopisa"/>
              <w:numPr>
                <w:ilvl w:val="0"/>
                <w:numId w:val="39"/>
              </w:numPr>
            </w:pPr>
            <w:r>
              <w:t>Sveučilište u Zadru</w:t>
            </w:r>
          </w:p>
        </w:tc>
        <w:tc>
          <w:tcPr>
            <w:tcW w:w="2774" w:type="dxa"/>
          </w:tcPr>
          <w:p w:rsidR="00702E3C" w:rsidRDefault="004B1C83">
            <w:r>
              <w:t>LOKACIJA PROVEDBE</w:t>
            </w:r>
          </w:p>
          <w:p w:rsidR="00702E3C" w:rsidRDefault="00702E3C"/>
        </w:tc>
        <w:tc>
          <w:tcPr>
            <w:tcW w:w="1972" w:type="dxa"/>
          </w:tcPr>
          <w:p w:rsidR="00702E3C" w:rsidRDefault="004B1C83">
            <w:pPr>
              <w:pStyle w:val="Odlomakpopisa"/>
              <w:numPr>
                <w:ilvl w:val="0"/>
                <w:numId w:val="40"/>
              </w:numPr>
            </w:pPr>
            <w:r>
              <w:t>Dugi otok</w:t>
            </w:r>
          </w:p>
          <w:p w:rsidR="00702E3C" w:rsidRDefault="004B1C83">
            <w:pPr>
              <w:pStyle w:val="Odlomakpopisa"/>
              <w:numPr>
                <w:ilvl w:val="0"/>
                <w:numId w:val="40"/>
              </w:numPr>
            </w:pPr>
            <w:r>
              <w:t>Kornati</w:t>
            </w: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2027.</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Valorizacija: Sv. Ivan (Telašćica)</w:t>
            </w:r>
          </w:p>
          <w:p w:rsidR="00702E3C" w:rsidRDefault="004B1C83">
            <w:pPr>
              <w:pStyle w:val="Odlomakpopisa"/>
              <w:numPr>
                <w:ilvl w:val="0"/>
                <w:numId w:val="39"/>
              </w:numPr>
            </w:pPr>
            <w:r>
              <w:t xml:space="preserve"> Rimska vila rustika; ranokršćanska crkva</w:t>
            </w:r>
          </w:p>
          <w:p w:rsidR="00702E3C" w:rsidRDefault="004B1C83">
            <w:pPr>
              <w:pStyle w:val="Odlomakpopisa"/>
              <w:numPr>
                <w:ilvl w:val="0"/>
                <w:numId w:val="39"/>
              </w:numPr>
            </w:pPr>
            <w:r>
              <w:t>dvostruka nekropola - kulturni turizam</w:t>
            </w:r>
          </w:p>
        </w:tc>
      </w:tr>
      <w:tr w:rsidR="00702E3C">
        <w:tc>
          <w:tcPr>
            <w:tcW w:w="2620" w:type="dxa"/>
          </w:tcPr>
          <w:p w:rsidR="00702E3C" w:rsidRDefault="004B1C83">
            <w:r>
              <w:t>VRIJEDNOST PROJEKTA</w:t>
            </w:r>
          </w:p>
        </w:tc>
        <w:tc>
          <w:tcPr>
            <w:tcW w:w="1922" w:type="dxa"/>
          </w:tcPr>
          <w:p w:rsidR="00702E3C" w:rsidRDefault="004B1C83">
            <w:r>
              <w:t>200.000,00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NE</w:t>
            </w:r>
          </w:p>
        </w:tc>
      </w:tr>
    </w:tbl>
    <w:p w:rsidR="00702E3C" w:rsidRDefault="00702E3C"/>
    <w:p w:rsidR="00702E3C" w:rsidRDefault="00702E3C"/>
    <w:tbl>
      <w:tblPr>
        <w:tblStyle w:val="Reetkatablice"/>
        <w:tblW w:w="0" w:type="auto"/>
        <w:tblLook w:val="04A0" w:firstRow="1" w:lastRow="0" w:firstColumn="1" w:lastColumn="0" w:noHBand="0" w:noVBand="1"/>
      </w:tblPr>
      <w:tblGrid>
        <w:gridCol w:w="2414"/>
        <w:gridCol w:w="1735"/>
        <w:gridCol w:w="2831"/>
        <w:gridCol w:w="2082"/>
      </w:tblGrid>
      <w:tr w:rsidR="00702E3C">
        <w:tc>
          <w:tcPr>
            <w:tcW w:w="9288" w:type="dxa"/>
            <w:gridSpan w:val="4"/>
            <w:shd w:val="clear" w:color="auto" w:fill="F8D2CC" w:themeFill="accent5" w:themeFillTint="32"/>
          </w:tcPr>
          <w:p w:rsidR="00702E3C" w:rsidRDefault="004B1C83">
            <w:r>
              <w:rPr>
                <w:b/>
              </w:rPr>
              <w:t>16.2.4.                          Od Punte Bianche do Punte Belvedere</w:t>
            </w:r>
          </w:p>
        </w:tc>
      </w:tr>
      <w:tr w:rsidR="00702E3C">
        <w:tc>
          <w:tcPr>
            <w:tcW w:w="2620" w:type="dxa"/>
          </w:tcPr>
          <w:p w:rsidR="00702E3C" w:rsidRDefault="004B1C83">
            <w:r>
              <w:t>OPIS PROJEKTA</w:t>
            </w:r>
          </w:p>
        </w:tc>
        <w:tc>
          <w:tcPr>
            <w:tcW w:w="6668" w:type="dxa"/>
            <w:gridSpan w:val="3"/>
          </w:tcPr>
          <w:p w:rsidR="00702E3C" w:rsidRDefault="004B1C83">
            <w:r>
              <w:t>Turistička zajednica Općine Sali, u suradnji sa Općinom Sali priprema projekt biciklističke staze duž cijelog otoka.  Natječaj se odnosi na razvoj i unaprjeđenje javne turističke infrastrukture,odnosno projekt postavljanja kompletne biciklističke staze.  Biciklistička cesta pratila bi glavnu cestu od koje bi bila odvojena rubnjakom. Projekt se odnosi na 50-ak km puta od krajnjeg jugoistoka (villa Rustika) do sjeverozapada otoka (Punta Biancha), te  izgradnju dva odmorišta veličine cca. 500 m² uz državnu cestu DC109. Dugi otok dug je 45 km, a širok je između 1 i 4 km. Zbog svoje dužine i netaknute prirode, ali i zbog slabe napučenosti otoka automobilima, popularan je među biciklistima koji Dugi otok smatraju idealnom biciklističkom destinacijom.</w:t>
            </w:r>
          </w:p>
        </w:tc>
      </w:tr>
      <w:tr w:rsidR="00702E3C">
        <w:tc>
          <w:tcPr>
            <w:tcW w:w="2620" w:type="dxa"/>
          </w:tcPr>
          <w:p w:rsidR="00702E3C" w:rsidRDefault="004B1C83">
            <w:r>
              <w:t>DOPRINOS OSTVARENJU POKAZATELJA ODRŽIVOSTI</w:t>
            </w:r>
          </w:p>
        </w:tc>
        <w:tc>
          <w:tcPr>
            <w:tcW w:w="6668" w:type="dxa"/>
            <w:gridSpan w:val="3"/>
          </w:tcPr>
          <w:p w:rsidR="00702E3C" w:rsidRDefault="004B1C83">
            <w:r>
              <w:t>Razvoj cyclo turizam i unaprijeđenje biciklističke infrastrukture te razvoju aktivnog turizma. Izgradnja biciklističke ceste doprinosi  obogaćivanju ponude,  povećanju zaposlenosti, smanjenu izoliranosti otoka , razvoju otoka i produženju sezone, promociji zelenog i održivog turizma.</w:t>
            </w:r>
          </w:p>
          <w:p w:rsidR="00702E3C" w:rsidRDefault="004B1C83">
            <w:pPr>
              <w:pStyle w:val="Odlomakpopisa"/>
              <w:numPr>
                <w:ilvl w:val="0"/>
                <w:numId w:val="41"/>
              </w:numPr>
            </w:pPr>
            <w:r>
              <w:t>Transport na otoku - zamjena osobnih i javnih vozila</w:t>
            </w:r>
          </w:p>
          <w:p w:rsidR="00702E3C" w:rsidRDefault="004B1C83">
            <w:pPr>
              <w:pStyle w:val="Odlomakpopisa"/>
              <w:numPr>
                <w:ilvl w:val="0"/>
                <w:numId w:val="41"/>
              </w:numPr>
            </w:pPr>
            <w:r>
              <w:t xml:space="preserve"> uvođenje sustava javnih bicikli</w:t>
            </w:r>
          </w:p>
          <w:p w:rsidR="00702E3C" w:rsidRDefault="004B1C83">
            <w:pPr>
              <w:pStyle w:val="Odlomakpopisa"/>
              <w:numPr>
                <w:ilvl w:val="0"/>
                <w:numId w:val="41"/>
              </w:numPr>
            </w:pPr>
            <w:r>
              <w:lastRenderedPageBreak/>
              <w:t xml:space="preserve"> razvoj infrastrukture (biciklističkih staza i punionica)</w:t>
            </w:r>
          </w:p>
        </w:tc>
      </w:tr>
      <w:tr w:rsidR="00702E3C">
        <w:tc>
          <w:tcPr>
            <w:tcW w:w="2620" w:type="dxa"/>
          </w:tcPr>
          <w:p w:rsidR="00702E3C" w:rsidRDefault="004B1C83">
            <w:r>
              <w:lastRenderedPageBreak/>
              <w:t>NOSITELJ PROVEDBE</w:t>
            </w:r>
          </w:p>
        </w:tc>
        <w:tc>
          <w:tcPr>
            <w:tcW w:w="1922" w:type="dxa"/>
          </w:tcPr>
          <w:p w:rsidR="00702E3C" w:rsidRDefault="004B1C83">
            <w:pPr>
              <w:pStyle w:val="Odlomakpopisa"/>
              <w:numPr>
                <w:ilvl w:val="0"/>
                <w:numId w:val="39"/>
              </w:numPr>
            </w:pPr>
            <w:r>
              <w:t>Općina Sali</w:t>
            </w:r>
          </w:p>
          <w:p w:rsidR="00702E3C" w:rsidRDefault="004B1C83">
            <w:pPr>
              <w:pStyle w:val="Odlomakpopisa"/>
              <w:numPr>
                <w:ilvl w:val="0"/>
                <w:numId w:val="39"/>
              </w:numPr>
            </w:pPr>
            <w:r>
              <w:t>TZO Sali</w:t>
            </w:r>
          </w:p>
          <w:p w:rsidR="00702E3C" w:rsidRDefault="004B1C83">
            <w:pPr>
              <w:pStyle w:val="Odlomakpopisa"/>
              <w:numPr>
                <w:ilvl w:val="0"/>
                <w:numId w:val="39"/>
              </w:numPr>
            </w:pPr>
            <w:r>
              <w:t>Hrvatske ceste</w:t>
            </w:r>
          </w:p>
        </w:tc>
        <w:tc>
          <w:tcPr>
            <w:tcW w:w="2774" w:type="dxa"/>
          </w:tcPr>
          <w:p w:rsidR="00702E3C" w:rsidRDefault="004B1C83">
            <w:r>
              <w:t>LOKACIJA PROVEDBE</w:t>
            </w:r>
          </w:p>
          <w:p w:rsidR="00702E3C" w:rsidRDefault="00702E3C"/>
        </w:tc>
        <w:tc>
          <w:tcPr>
            <w:tcW w:w="1972" w:type="dxa"/>
          </w:tcPr>
          <w:p w:rsidR="00702E3C" w:rsidRDefault="004B1C83">
            <w:pPr>
              <w:pStyle w:val="Odlomakpopisa"/>
              <w:numPr>
                <w:ilvl w:val="0"/>
                <w:numId w:val="40"/>
              </w:numPr>
            </w:pPr>
            <w:r>
              <w:t>Dugi otok</w:t>
            </w:r>
          </w:p>
          <w:p w:rsidR="00702E3C" w:rsidRDefault="00702E3C">
            <w:pPr>
              <w:ind w:left="360"/>
            </w:pP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2028.</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Biciklistička staza</w:t>
            </w:r>
          </w:p>
          <w:p w:rsidR="00702E3C" w:rsidRDefault="004B1C83">
            <w:pPr>
              <w:pStyle w:val="Odlomakpopisa"/>
              <w:numPr>
                <w:ilvl w:val="0"/>
                <w:numId w:val="39"/>
              </w:numPr>
            </w:pPr>
            <w:r>
              <w:t xml:space="preserve"> vidikovci</w:t>
            </w:r>
          </w:p>
          <w:p w:rsidR="00702E3C" w:rsidRDefault="004B1C83">
            <w:pPr>
              <w:pStyle w:val="Odlomakpopisa"/>
              <w:numPr>
                <w:ilvl w:val="0"/>
                <w:numId w:val="39"/>
              </w:numPr>
            </w:pPr>
            <w:r>
              <w:t xml:space="preserve"> sigurno kretanje biciklista po otoku</w:t>
            </w:r>
          </w:p>
          <w:p w:rsidR="00702E3C" w:rsidRDefault="004B1C83">
            <w:pPr>
              <w:pStyle w:val="Odlomakpopisa"/>
              <w:numPr>
                <w:ilvl w:val="0"/>
                <w:numId w:val="39"/>
              </w:numPr>
            </w:pPr>
            <w:r>
              <w:t xml:space="preserve"> promocija carbon free kretanja</w:t>
            </w:r>
          </w:p>
        </w:tc>
      </w:tr>
      <w:tr w:rsidR="00702E3C">
        <w:tc>
          <w:tcPr>
            <w:tcW w:w="2620" w:type="dxa"/>
          </w:tcPr>
          <w:p w:rsidR="00702E3C" w:rsidRDefault="004B1C83">
            <w:r>
              <w:t>VRIJEDNOST PROJEKTA</w:t>
            </w:r>
          </w:p>
        </w:tc>
        <w:tc>
          <w:tcPr>
            <w:tcW w:w="1922" w:type="dxa"/>
          </w:tcPr>
          <w:p w:rsidR="00702E3C" w:rsidRDefault="004B1C83">
            <w:r>
              <w:t>1.000.000,00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DA</w:t>
            </w:r>
          </w:p>
        </w:tc>
      </w:tr>
    </w:tbl>
    <w:p w:rsidR="00702E3C" w:rsidRDefault="00702E3C"/>
    <w:p w:rsidR="00702E3C" w:rsidRDefault="00702E3C"/>
    <w:tbl>
      <w:tblPr>
        <w:tblStyle w:val="Reetkatablice"/>
        <w:tblW w:w="0" w:type="auto"/>
        <w:tblLook w:val="04A0" w:firstRow="1" w:lastRow="0" w:firstColumn="1" w:lastColumn="0" w:noHBand="0" w:noVBand="1"/>
      </w:tblPr>
      <w:tblGrid>
        <w:gridCol w:w="2463"/>
        <w:gridCol w:w="1589"/>
        <w:gridCol w:w="2888"/>
        <w:gridCol w:w="2122"/>
      </w:tblGrid>
      <w:tr w:rsidR="00702E3C">
        <w:tc>
          <w:tcPr>
            <w:tcW w:w="9288" w:type="dxa"/>
            <w:gridSpan w:val="4"/>
            <w:shd w:val="clear" w:color="auto" w:fill="F8D2CC" w:themeFill="accent5" w:themeFillTint="32"/>
          </w:tcPr>
          <w:p w:rsidR="00702E3C" w:rsidRDefault="004B1C83">
            <w:r>
              <w:rPr>
                <w:b/>
              </w:rPr>
              <w:t>16.2.5.                               Dugootočka transverzala</w:t>
            </w:r>
          </w:p>
        </w:tc>
      </w:tr>
      <w:tr w:rsidR="00702E3C">
        <w:tc>
          <w:tcPr>
            <w:tcW w:w="2620" w:type="dxa"/>
          </w:tcPr>
          <w:p w:rsidR="00702E3C" w:rsidRDefault="004B1C83">
            <w:r>
              <w:t>OPIS PROJEKTA</w:t>
            </w:r>
          </w:p>
        </w:tc>
        <w:tc>
          <w:tcPr>
            <w:tcW w:w="6668" w:type="dxa"/>
            <w:gridSpan w:val="3"/>
          </w:tcPr>
          <w:p w:rsidR="00702E3C" w:rsidRDefault="004B1C83">
            <w:r>
              <w:t>Plan za obnovu postojećih i probijanje novih planinarskih staza preko Dugog otoka u cijeloj njegovoj dužini. Ideja je da se staza "provuče" po brdima Dugog otoka (po azimutu, prateći konfiguraciju terena na način da se sa stazom prođe preko svih vrhova brda zbog dobivanja boljih panorama. Radi se o cca 70 km staze. na središnjem dijelu otoka postoji poteba za planinarskim skloništem, koji se napravilo u sklopu ovog projekta, a koristilo bi se kao osmatračnica za potrebe vatrogasne preventive i kao sklonište za planinare.</w:t>
            </w:r>
          </w:p>
        </w:tc>
      </w:tr>
      <w:tr w:rsidR="00702E3C">
        <w:tc>
          <w:tcPr>
            <w:tcW w:w="2620" w:type="dxa"/>
          </w:tcPr>
          <w:p w:rsidR="00702E3C" w:rsidRDefault="004B1C83">
            <w:r>
              <w:t>DOPRINOS OSTVARENJU POKAZATELJA ODRŽIVOSTI</w:t>
            </w:r>
          </w:p>
        </w:tc>
        <w:tc>
          <w:tcPr>
            <w:tcW w:w="6668" w:type="dxa"/>
            <w:gridSpan w:val="3"/>
          </w:tcPr>
          <w:p w:rsidR="00702E3C" w:rsidRDefault="004B1C83">
            <w:r>
              <w:t>Korištenje stanja na terenu bez ikakvih  velikih intervencija. Probijanje novih staza, koje bi se koristile i za lakše kretanje vatrogasaca kroz nepristupačni teren u slučaju vatrogasnih intervencija.</w:t>
            </w:r>
          </w:p>
          <w:p w:rsidR="00702E3C" w:rsidRDefault="004B1C83">
            <w:pPr>
              <w:pStyle w:val="Odlomakpopisa"/>
              <w:numPr>
                <w:ilvl w:val="0"/>
                <w:numId w:val="42"/>
              </w:numPr>
            </w:pPr>
            <w:r>
              <w:t>Povećenja ponude</w:t>
            </w:r>
          </w:p>
          <w:p w:rsidR="00702E3C" w:rsidRDefault="004B1C83">
            <w:pPr>
              <w:pStyle w:val="Odlomakpopisa"/>
              <w:numPr>
                <w:ilvl w:val="0"/>
                <w:numId w:val="42"/>
              </w:numPr>
            </w:pPr>
            <w:r>
              <w:t xml:space="preserve"> stvaranje novog turističkog proizvoda</w:t>
            </w:r>
          </w:p>
          <w:p w:rsidR="00702E3C" w:rsidRDefault="004B1C83">
            <w:pPr>
              <w:pStyle w:val="Odlomakpopisa"/>
              <w:numPr>
                <w:ilvl w:val="0"/>
                <w:numId w:val="42"/>
              </w:numPr>
            </w:pPr>
            <w:r>
              <w:t xml:space="preserve"> povećanje broja posjetitelja</w:t>
            </w:r>
          </w:p>
          <w:p w:rsidR="00702E3C" w:rsidRDefault="004B1C83">
            <w:pPr>
              <w:pStyle w:val="Odlomakpopisa"/>
              <w:numPr>
                <w:ilvl w:val="0"/>
                <w:numId w:val="42"/>
              </w:numPr>
            </w:pPr>
            <w:r>
              <w:t xml:space="preserve"> Ekološki, održivi i zeleni Dugi otok</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39"/>
              </w:numPr>
            </w:pPr>
            <w:r>
              <w:t>Općina Sali</w:t>
            </w:r>
          </w:p>
          <w:p w:rsidR="00702E3C" w:rsidRDefault="004B1C83">
            <w:pPr>
              <w:pStyle w:val="Odlomakpopisa"/>
              <w:numPr>
                <w:ilvl w:val="0"/>
                <w:numId w:val="39"/>
              </w:numPr>
            </w:pPr>
            <w:r>
              <w:lastRenderedPageBreak/>
              <w:t>TZO Sali</w:t>
            </w:r>
          </w:p>
        </w:tc>
        <w:tc>
          <w:tcPr>
            <w:tcW w:w="2774" w:type="dxa"/>
          </w:tcPr>
          <w:p w:rsidR="00702E3C" w:rsidRDefault="004B1C83">
            <w:r>
              <w:lastRenderedPageBreak/>
              <w:t>LOKACIJA PROVEDBE</w:t>
            </w:r>
          </w:p>
          <w:p w:rsidR="00702E3C" w:rsidRDefault="00702E3C"/>
        </w:tc>
        <w:tc>
          <w:tcPr>
            <w:tcW w:w="1972" w:type="dxa"/>
          </w:tcPr>
          <w:p w:rsidR="00702E3C" w:rsidRDefault="004B1C83">
            <w:pPr>
              <w:pStyle w:val="Odlomakpopisa"/>
              <w:numPr>
                <w:ilvl w:val="0"/>
                <w:numId w:val="40"/>
              </w:numPr>
            </w:pPr>
            <w:r>
              <w:lastRenderedPageBreak/>
              <w:t>Dugi otok</w:t>
            </w:r>
          </w:p>
          <w:p w:rsidR="00702E3C" w:rsidRDefault="00702E3C">
            <w:pPr>
              <w:ind w:left="360"/>
            </w:pPr>
          </w:p>
        </w:tc>
      </w:tr>
      <w:tr w:rsidR="00702E3C">
        <w:tc>
          <w:tcPr>
            <w:tcW w:w="2620" w:type="dxa"/>
          </w:tcPr>
          <w:p w:rsidR="00702E3C" w:rsidRDefault="004B1C83">
            <w:r>
              <w:lastRenderedPageBreak/>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2028.</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Vidikovci</w:t>
            </w:r>
          </w:p>
          <w:p w:rsidR="00702E3C" w:rsidRDefault="004B1C83">
            <w:pPr>
              <w:pStyle w:val="Odlomakpopisa"/>
              <w:numPr>
                <w:ilvl w:val="0"/>
                <w:numId w:val="39"/>
              </w:numPr>
            </w:pPr>
            <w:r>
              <w:t xml:space="preserve"> 70 km planinarske staze</w:t>
            </w:r>
          </w:p>
          <w:p w:rsidR="00702E3C" w:rsidRDefault="004B1C83">
            <w:pPr>
              <w:pStyle w:val="Odlomakpopisa"/>
              <w:numPr>
                <w:ilvl w:val="0"/>
                <w:numId w:val="39"/>
              </w:numPr>
            </w:pPr>
            <w:r>
              <w:t>sklonište</w:t>
            </w:r>
          </w:p>
        </w:tc>
      </w:tr>
      <w:tr w:rsidR="00702E3C">
        <w:tc>
          <w:tcPr>
            <w:tcW w:w="2620" w:type="dxa"/>
          </w:tcPr>
          <w:p w:rsidR="00702E3C" w:rsidRDefault="004B1C83">
            <w:r>
              <w:t>VRIJEDNOST PROJEKTA</w:t>
            </w:r>
          </w:p>
        </w:tc>
        <w:tc>
          <w:tcPr>
            <w:tcW w:w="1922" w:type="dxa"/>
          </w:tcPr>
          <w:p w:rsidR="00702E3C" w:rsidRDefault="004B1C83">
            <w:r>
              <w:t>1.100.000,00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DA</w:t>
            </w:r>
          </w:p>
        </w:tc>
      </w:tr>
    </w:tbl>
    <w:p w:rsidR="00702E3C" w:rsidRDefault="00702E3C"/>
    <w:p w:rsidR="00702E3C" w:rsidRDefault="00702E3C"/>
    <w:tbl>
      <w:tblPr>
        <w:tblStyle w:val="Reetkatablice"/>
        <w:tblW w:w="0" w:type="auto"/>
        <w:tblLook w:val="04A0" w:firstRow="1" w:lastRow="0" w:firstColumn="1" w:lastColumn="0" w:noHBand="0" w:noVBand="1"/>
      </w:tblPr>
      <w:tblGrid>
        <w:gridCol w:w="2530"/>
        <w:gridCol w:w="1436"/>
        <w:gridCol w:w="2938"/>
        <w:gridCol w:w="2158"/>
      </w:tblGrid>
      <w:tr w:rsidR="00702E3C">
        <w:tc>
          <w:tcPr>
            <w:tcW w:w="9288" w:type="dxa"/>
            <w:gridSpan w:val="4"/>
            <w:shd w:val="clear" w:color="auto" w:fill="F8D2CC" w:themeFill="accent5" w:themeFillTint="32"/>
          </w:tcPr>
          <w:p w:rsidR="00702E3C" w:rsidRDefault="004B1C83">
            <w:r>
              <w:rPr>
                <w:b/>
              </w:rPr>
              <w:t>16.2.6.                                      Putevima Peteročića</w:t>
            </w:r>
          </w:p>
        </w:tc>
      </w:tr>
      <w:tr w:rsidR="00702E3C">
        <w:tc>
          <w:tcPr>
            <w:tcW w:w="2620" w:type="dxa"/>
          </w:tcPr>
          <w:p w:rsidR="00702E3C" w:rsidRDefault="004B1C83">
            <w:r>
              <w:t>OPIS PROJEKTA</w:t>
            </w:r>
          </w:p>
        </w:tc>
        <w:tc>
          <w:tcPr>
            <w:tcW w:w="6668" w:type="dxa"/>
            <w:gridSpan w:val="3"/>
          </w:tcPr>
          <w:p w:rsidR="00702E3C" w:rsidRDefault="004B1C83">
            <w:r>
              <w:t>Putevi u Naselju Peteročića tvore mrežu koridora koji podsjećaju na nekadašnju povezanost zajednice. Ono što je nekada bio funkcionalan mikro-svijet danas je u stanju urušenost te bi se obnovom omogućilo istraživanje lokalne povijesti i mašte te zaštitu prirode.  Postavljanjem tabli s pričom o Peteročićima koji su živjeli u tim kućicama te razvojem edukativno-zabavne igre za djecu te izradom i postavljanjem kamenih skulptura Peteročića (smještenih na ključnim točkama naselja) djeca i posjetitelji će moći upoznati mitološka bića – vidjeti ih, fotografirati se s njima i ući u svijet priče. Projekt daje višestruki doprinos održivosti u budućem  razdoblju  jer bismo projekt obnove Naselja povezali s Projektom Dugootočke transverzale koji će obnoviti planinarsku stazu do naselja te u sklopu kojeg će biti dugoročno održavani putevi sa markacijama i mapama.</w:t>
            </w:r>
          </w:p>
        </w:tc>
      </w:tr>
      <w:tr w:rsidR="00702E3C">
        <w:tc>
          <w:tcPr>
            <w:tcW w:w="2620" w:type="dxa"/>
          </w:tcPr>
          <w:p w:rsidR="00702E3C" w:rsidRDefault="004B1C83">
            <w:r>
              <w:t>DOPRINOS OSTVARENJU POKAZATELJA ODRŽIVOSTI</w:t>
            </w:r>
          </w:p>
        </w:tc>
        <w:tc>
          <w:tcPr>
            <w:tcW w:w="6668" w:type="dxa"/>
            <w:gridSpan w:val="3"/>
          </w:tcPr>
          <w:p w:rsidR="00702E3C" w:rsidRDefault="004B1C83">
            <w:pPr>
              <w:pStyle w:val="Odlomakpopisa"/>
              <w:ind w:left="0"/>
            </w:pPr>
            <w:r>
              <w:t xml:space="preserve">Projekt daje višestruki doprinos održivosti u budućem desetogodišnjem razdoblju. Kroz obnovu tradicionalnih suhozida i interpretaciju za posjetitelje, projekt doprinosi očuvanju i valorizaciji materijalne i nematerijalne kulturne baštine, jačajući lokalni identitet. Aktivnim uključivanjem djece, mladih i šire zajednice u radionice, igre i edukativne sadržaje, potiče se društvena kohezija i međugeneracijska suradnja. Projekt je osmišljen da koristi održive materijale i tradicionalne tehnike obnove, bez narušavanja krajolika, čime doprinosi ekološkoj i prostornoj održivosti. Edukativni elementi, poput interpretacijske table i igre za djecu, osiguravaju dugoročnu upotrebu prostora bez potrebe za stalnim dodatnim ulaganjima, uz minimalno održavanje. Na taj </w:t>
            </w:r>
            <w:r>
              <w:lastRenderedPageBreak/>
              <w:t xml:space="preserve">način projekt ostvaruje dugoročne učinke, ostajući relevantan, koristan i pristupačan i u godinama koje slijede. </w:t>
            </w:r>
          </w:p>
        </w:tc>
      </w:tr>
      <w:tr w:rsidR="00702E3C">
        <w:tc>
          <w:tcPr>
            <w:tcW w:w="2620" w:type="dxa"/>
          </w:tcPr>
          <w:p w:rsidR="00702E3C" w:rsidRDefault="004B1C83">
            <w:r>
              <w:lastRenderedPageBreak/>
              <w:t>NOSITELJ PROVEDBE</w:t>
            </w:r>
          </w:p>
        </w:tc>
        <w:tc>
          <w:tcPr>
            <w:tcW w:w="1922" w:type="dxa"/>
          </w:tcPr>
          <w:p w:rsidR="00702E3C" w:rsidRDefault="004B1C83">
            <w:pPr>
              <w:pStyle w:val="Odlomakpopisa"/>
              <w:numPr>
                <w:ilvl w:val="0"/>
                <w:numId w:val="43"/>
              </w:numPr>
            </w:pPr>
            <w:r>
              <w:t>TZO Sali</w:t>
            </w:r>
          </w:p>
        </w:tc>
        <w:tc>
          <w:tcPr>
            <w:tcW w:w="2774" w:type="dxa"/>
          </w:tcPr>
          <w:p w:rsidR="00702E3C" w:rsidRDefault="004B1C83">
            <w:r>
              <w:t>LOKACIJA PROVEDBE</w:t>
            </w:r>
          </w:p>
          <w:p w:rsidR="00702E3C" w:rsidRDefault="00702E3C"/>
        </w:tc>
        <w:tc>
          <w:tcPr>
            <w:tcW w:w="1972" w:type="dxa"/>
          </w:tcPr>
          <w:p w:rsidR="00702E3C" w:rsidRDefault="004B1C83">
            <w:pPr>
              <w:pStyle w:val="Odlomakpopisa"/>
              <w:numPr>
                <w:ilvl w:val="0"/>
                <w:numId w:val="40"/>
              </w:numPr>
            </w:pPr>
            <w:r>
              <w:t>Dugi otok</w:t>
            </w:r>
          </w:p>
          <w:p w:rsidR="00702E3C" w:rsidRDefault="00702E3C">
            <w:pPr>
              <w:ind w:left="360"/>
            </w:pP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2026.</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Tematski park za posjetitelje</w:t>
            </w:r>
          </w:p>
          <w:p w:rsidR="00702E3C" w:rsidRDefault="004B1C83">
            <w:pPr>
              <w:pStyle w:val="Odlomakpopisa"/>
              <w:numPr>
                <w:ilvl w:val="0"/>
                <w:numId w:val="39"/>
              </w:numPr>
            </w:pPr>
            <w:r>
              <w:t xml:space="preserve"> obnova staza i naselja</w:t>
            </w:r>
          </w:p>
          <w:p w:rsidR="00702E3C" w:rsidRDefault="004B1C83">
            <w:pPr>
              <w:pStyle w:val="Odlomakpopisa"/>
              <w:numPr>
                <w:ilvl w:val="0"/>
                <w:numId w:val="39"/>
              </w:numPr>
            </w:pPr>
            <w:r>
              <w:t xml:space="preserve"> povezivanje sa Dugootočkom transverzalom</w:t>
            </w:r>
          </w:p>
        </w:tc>
      </w:tr>
      <w:tr w:rsidR="00702E3C">
        <w:tc>
          <w:tcPr>
            <w:tcW w:w="2620" w:type="dxa"/>
          </w:tcPr>
          <w:p w:rsidR="00702E3C" w:rsidRDefault="004B1C83">
            <w:r>
              <w:t>VRIJEDNOST PROJEKTA</w:t>
            </w:r>
          </w:p>
        </w:tc>
        <w:tc>
          <w:tcPr>
            <w:tcW w:w="1922" w:type="dxa"/>
          </w:tcPr>
          <w:p w:rsidR="00702E3C" w:rsidRDefault="004B1C83">
            <w:r>
              <w:t>200.000,00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NE</w:t>
            </w:r>
          </w:p>
        </w:tc>
      </w:tr>
    </w:tbl>
    <w:p w:rsidR="00702E3C" w:rsidRDefault="00702E3C"/>
    <w:p w:rsidR="00702E3C" w:rsidRDefault="00702E3C"/>
    <w:tbl>
      <w:tblPr>
        <w:tblStyle w:val="Reetkatablice"/>
        <w:tblW w:w="0" w:type="auto"/>
        <w:tblLook w:val="04A0" w:firstRow="1" w:lastRow="0" w:firstColumn="1" w:lastColumn="0" w:noHBand="0" w:noVBand="1"/>
      </w:tblPr>
      <w:tblGrid>
        <w:gridCol w:w="2495"/>
        <w:gridCol w:w="1492"/>
        <w:gridCol w:w="2926"/>
        <w:gridCol w:w="2149"/>
      </w:tblGrid>
      <w:tr w:rsidR="00702E3C">
        <w:tc>
          <w:tcPr>
            <w:tcW w:w="9288" w:type="dxa"/>
            <w:gridSpan w:val="4"/>
            <w:shd w:val="clear" w:color="auto" w:fill="F8D2CC" w:themeFill="accent5" w:themeFillTint="32"/>
          </w:tcPr>
          <w:p w:rsidR="00702E3C" w:rsidRDefault="004B1C83">
            <w:r>
              <w:rPr>
                <w:b/>
              </w:rPr>
              <w:t>16.2.7.                                Zavičajna zbirka Dugog otoka</w:t>
            </w:r>
          </w:p>
        </w:tc>
      </w:tr>
      <w:tr w:rsidR="00702E3C">
        <w:tc>
          <w:tcPr>
            <w:tcW w:w="2620" w:type="dxa"/>
          </w:tcPr>
          <w:p w:rsidR="00702E3C" w:rsidRDefault="004B1C83">
            <w:r>
              <w:t>OPIS PROJEKTA</w:t>
            </w:r>
          </w:p>
        </w:tc>
        <w:tc>
          <w:tcPr>
            <w:tcW w:w="6668" w:type="dxa"/>
            <w:gridSpan w:val="3"/>
          </w:tcPr>
          <w:p w:rsidR="00702E3C" w:rsidRDefault="004B1C83">
            <w:r>
              <w:t>U starom selu u Salima tzv. "Zmorašnje selo" postoje "ruševine" koje predstavljaju najstarije kuće u Salima (400 god. plus). Ostaci su u vlasništvu Općine Sali i plan je da se revitaliziraju u izvornom obliku, te da se u sklopu njih izradi Zavičajna zbirka Dugog otoka, gdje bi se prezentirala cijela arheološka baština Dugog otoka.</w:t>
            </w:r>
          </w:p>
        </w:tc>
      </w:tr>
      <w:tr w:rsidR="00702E3C">
        <w:tc>
          <w:tcPr>
            <w:tcW w:w="2620" w:type="dxa"/>
          </w:tcPr>
          <w:p w:rsidR="00702E3C" w:rsidRDefault="004B1C83">
            <w:r>
              <w:t>DOPRINOS OSTVARENJU POKAZATELJA ODRŽIVOSTI</w:t>
            </w:r>
          </w:p>
        </w:tc>
        <w:tc>
          <w:tcPr>
            <w:tcW w:w="6668" w:type="dxa"/>
            <w:gridSpan w:val="3"/>
          </w:tcPr>
          <w:p w:rsidR="00702E3C" w:rsidRDefault="004B1C83">
            <w:pPr>
              <w:pStyle w:val="Odlomakpopisa"/>
              <w:ind w:left="0"/>
            </w:pPr>
            <w:r>
              <w:t>Kroz obnovu starih ruševnih zgrada, sačuvati lokalni identitet i tradiciju. Projekt je osmišljen da koristi održive materijale i tradicionalne tehnike obnove, bez narušavanja krajolika, čime doprinosi ekološkoj i prostornoj održivosti.</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43"/>
              </w:numPr>
            </w:pPr>
            <w:r>
              <w:t>Općina Sali/TZO Sali</w:t>
            </w:r>
          </w:p>
        </w:tc>
        <w:tc>
          <w:tcPr>
            <w:tcW w:w="2774" w:type="dxa"/>
          </w:tcPr>
          <w:p w:rsidR="00702E3C" w:rsidRDefault="004B1C83">
            <w:r>
              <w:t>LOKACIJA PROVEDBE</w:t>
            </w:r>
          </w:p>
          <w:p w:rsidR="00702E3C" w:rsidRDefault="00702E3C"/>
        </w:tc>
        <w:tc>
          <w:tcPr>
            <w:tcW w:w="1972" w:type="dxa"/>
          </w:tcPr>
          <w:p w:rsidR="00702E3C" w:rsidRDefault="004B1C83">
            <w:pPr>
              <w:numPr>
                <w:ilvl w:val="0"/>
                <w:numId w:val="43"/>
              </w:numPr>
            </w:pPr>
            <w:r>
              <w:t>Sali</w:t>
            </w: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2029.</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Prezentacija arheološke baštine posjetiteljima</w:t>
            </w:r>
          </w:p>
          <w:p w:rsidR="00702E3C" w:rsidRDefault="004B1C83">
            <w:pPr>
              <w:pStyle w:val="Odlomakpopisa"/>
              <w:numPr>
                <w:ilvl w:val="0"/>
                <w:numId w:val="39"/>
              </w:numPr>
            </w:pPr>
            <w:r>
              <w:t xml:space="preserve"> oživljavanje povijesne građevine sa svrhom edukacije i očuvanja.</w:t>
            </w:r>
          </w:p>
        </w:tc>
      </w:tr>
      <w:tr w:rsidR="00702E3C">
        <w:tc>
          <w:tcPr>
            <w:tcW w:w="2620" w:type="dxa"/>
          </w:tcPr>
          <w:p w:rsidR="00702E3C" w:rsidRDefault="004B1C83">
            <w:r>
              <w:t>VRIJEDNOST PROJEKTA</w:t>
            </w:r>
          </w:p>
        </w:tc>
        <w:tc>
          <w:tcPr>
            <w:tcW w:w="1922" w:type="dxa"/>
          </w:tcPr>
          <w:p w:rsidR="00702E3C" w:rsidRDefault="004B1C83">
            <w:r>
              <w:t>2.000.000,00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lastRenderedPageBreak/>
              <w:t>POTREBNA STUDIJSKA/PROJEKTNA DOKUMENTACIJA</w:t>
            </w:r>
          </w:p>
        </w:tc>
        <w:tc>
          <w:tcPr>
            <w:tcW w:w="6668" w:type="dxa"/>
            <w:gridSpan w:val="3"/>
          </w:tcPr>
          <w:p w:rsidR="00702E3C" w:rsidRDefault="004B1C83">
            <w:r>
              <w:t>DA</w:t>
            </w:r>
          </w:p>
        </w:tc>
      </w:tr>
    </w:tbl>
    <w:p w:rsidR="00702E3C" w:rsidRDefault="00702E3C"/>
    <w:p w:rsidR="00702E3C" w:rsidRDefault="00702E3C"/>
    <w:tbl>
      <w:tblPr>
        <w:tblStyle w:val="Reetkatablice"/>
        <w:tblW w:w="0" w:type="auto"/>
        <w:tblLook w:val="04A0" w:firstRow="1" w:lastRow="0" w:firstColumn="1" w:lastColumn="0" w:noHBand="0" w:noVBand="1"/>
      </w:tblPr>
      <w:tblGrid>
        <w:gridCol w:w="2495"/>
        <w:gridCol w:w="1492"/>
        <w:gridCol w:w="2926"/>
        <w:gridCol w:w="2149"/>
      </w:tblGrid>
      <w:tr w:rsidR="00702E3C">
        <w:tc>
          <w:tcPr>
            <w:tcW w:w="9288" w:type="dxa"/>
            <w:gridSpan w:val="4"/>
            <w:shd w:val="clear" w:color="auto" w:fill="F8D2CC" w:themeFill="accent5" w:themeFillTint="32"/>
          </w:tcPr>
          <w:p w:rsidR="00702E3C" w:rsidRDefault="004B1C83">
            <w:r>
              <w:rPr>
                <w:b/>
              </w:rPr>
              <w:t>16.2.8.                                            Kvalitetno Dugi otok</w:t>
            </w:r>
          </w:p>
        </w:tc>
      </w:tr>
      <w:tr w:rsidR="00702E3C">
        <w:tc>
          <w:tcPr>
            <w:tcW w:w="2620" w:type="dxa"/>
          </w:tcPr>
          <w:p w:rsidR="00702E3C" w:rsidRDefault="004B1C83">
            <w:r>
              <w:t>OPIS PROJEKTA</w:t>
            </w:r>
          </w:p>
        </w:tc>
        <w:tc>
          <w:tcPr>
            <w:tcW w:w="6668" w:type="dxa"/>
            <w:gridSpan w:val="3"/>
          </w:tcPr>
          <w:p w:rsidR="00702E3C" w:rsidRDefault="004B1C83">
            <w:r>
              <w:t>TZO Sali je nositelj Projekta zajedničke oznake za promociju odredišta Dugi otok i otočkih proizvoda i usluga, naziva „Kvalitetno Dugi otok“. Nakon poticanja OPG-ovaca na ishodovanje oznake, projekt ulazi u drugu fazu - implementacije proizvoda u turističku ponudu. U sklopu projekta u planu je pronalazak lokacije i/ili nabava objekta u sklopu kojeg će se proizvodi nositelji oznake Kvalitetno Dugi otok stalno prezentirati posjetiteljima s mogućnošću degustacije i kupovine proizvoda. Paln je potaknuti UO da proizvode sa oznakom Kvalitetno Dugi otok uvrste u svoje jelovnike te na taj način dodatno promoviraju proizvode. Također, na sporazumno dogovorenom prostoru jednom tjedno održavati će se gastro večeri na temu lokalnih proizvoda.Događaj osim promocije destinacije i proizvoda potiče posjetitelje, kao i lokalno stanovništvo na aktivnost, stvaranje dodane vrijednosti u obliku novih proizvoda i degustiranje.</w:t>
            </w:r>
          </w:p>
        </w:tc>
      </w:tr>
      <w:tr w:rsidR="00702E3C">
        <w:tc>
          <w:tcPr>
            <w:tcW w:w="2620" w:type="dxa"/>
          </w:tcPr>
          <w:p w:rsidR="00702E3C" w:rsidRDefault="004B1C83">
            <w:r>
              <w:t>DOPRINOS OSTVARENJU POKAZATELJA ODRŽIVOSTI</w:t>
            </w:r>
          </w:p>
        </w:tc>
        <w:tc>
          <w:tcPr>
            <w:tcW w:w="6668" w:type="dxa"/>
            <w:gridSpan w:val="3"/>
          </w:tcPr>
          <w:p w:rsidR="00702E3C" w:rsidRDefault="004B1C83">
            <w:pPr>
              <w:pStyle w:val="Odlomakpopisa"/>
              <w:ind w:left="0"/>
            </w:pPr>
            <w:r>
              <w:t>Promocija lokalnih proizvoda, poticanje zapošljav</w:t>
            </w:r>
          </w:p>
          <w:p w:rsidR="00702E3C" w:rsidRDefault="004B1C83">
            <w:pPr>
              <w:pStyle w:val="Odlomakpopisa"/>
              <w:ind w:left="0"/>
            </w:pPr>
            <w:r>
              <w:t>anja mladih OPG-ovaca, podizanje kvalitete gastronomske ponude, razvoj ruralnog turizma i jačanje lokalne ekonomije.</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43"/>
              </w:numPr>
            </w:pPr>
            <w:r>
              <w:t>Općina Sali/TZO Sali</w:t>
            </w:r>
          </w:p>
        </w:tc>
        <w:tc>
          <w:tcPr>
            <w:tcW w:w="2774" w:type="dxa"/>
          </w:tcPr>
          <w:p w:rsidR="00702E3C" w:rsidRDefault="004B1C83">
            <w:r>
              <w:t>LOKACIJA PROVEDBE</w:t>
            </w:r>
          </w:p>
          <w:p w:rsidR="00702E3C" w:rsidRDefault="00702E3C"/>
        </w:tc>
        <w:tc>
          <w:tcPr>
            <w:tcW w:w="1972" w:type="dxa"/>
          </w:tcPr>
          <w:p w:rsidR="00702E3C" w:rsidRDefault="004B1C83">
            <w:pPr>
              <w:numPr>
                <w:ilvl w:val="0"/>
                <w:numId w:val="43"/>
              </w:numPr>
            </w:pPr>
            <w:r>
              <w:t>Dugi otok</w:t>
            </w: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2029.</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Zapošljavanje mladih</w:t>
            </w:r>
          </w:p>
          <w:p w:rsidR="00702E3C" w:rsidRDefault="004B1C83">
            <w:pPr>
              <w:pStyle w:val="Odlomakpopisa"/>
              <w:numPr>
                <w:ilvl w:val="0"/>
                <w:numId w:val="39"/>
              </w:numPr>
            </w:pPr>
            <w:r>
              <w:t>Zadržavanje mladih na otoku</w:t>
            </w:r>
          </w:p>
          <w:p w:rsidR="00702E3C" w:rsidRDefault="004B1C83">
            <w:pPr>
              <w:pStyle w:val="Odlomakpopisa"/>
              <w:numPr>
                <w:ilvl w:val="0"/>
                <w:numId w:val="39"/>
              </w:numPr>
            </w:pPr>
            <w:r>
              <w:t xml:space="preserve"> ekološka održivost</w:t>
            </w:r>
          </w:p>
          <w:p w:rsidR="00702E3C" w:rsidRDefault="004B1C83">
            <w:pPr>
              <w:pStyle w:val="Odlomakpopisa"/>
              <w:numPr>
                <w:ilvl w:val="0"/>
                <w:numId w:val="39"/>
              </w:numPr>
            </w:pPr>
            <w:r>
              <w:t xml:space="preserve"> očuvanje tradicije i edukacije posjetitelja sa procesom proizvodnje domaćih proizvoda.</w:t>
            </w:r>
          </w:p>
        </w:tc>
      </w:tr>
      <w:tr w:rsidR="00702E3C">
        <w:tc>
          <w:tcPr>
            <w:tcW w:w="2620" w:type="dxa"/>
          </w:tcPr>
          <w:p w:rsidR="00702E3C" w:rsidRDefault="004B1C83">
            <w:r>
              <w:t>VRIJEDNOST PROJEKTA</w:t>
            </w:r>
          </w:p>
        </w:tc>
        <w:tc>
          <w:tcPr>
            <w:tcW w:w="1922" w:type="dxa"/>
          </w:tcPr>
          <w:p w:rsidR="00702E3C" w:rsidRDefault="004B1C83">
            <w:r>
              <w:t>70.000,00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lastRenderedPageBreak/>
              <w:t>POTREBNA STUDIJSKA/PROJEKTNA DOKUMENTACIJA</w:t>
            </w:r>
          </w:p>
        </w:tc>
        <w:tc>
          <w:tcPr>
            <w:tcW w:w="6668" w:type="dxa"/>
            <w:gridSpan w:val="3"/>
          </w:tcPr>
          <w:p w:rsidR="00702E3C" w:rsidRDefault="004B1C83">
            <w:r>
              <w:t>DA</w:t>
            </w:r>
          </w:p>
        </w:tc>
      </w:tr>
    </w:tbl>
    <w:p w:rsidR="00702E3C" w:rsidRDefault="00702E3C"/>
    <w:p w:rsidR="00702E3C" w:rsidRDefault="00702E3C"/>
    <w:p w:rsidR="00702E3C" w:rsidRDefault="00702E3C"/>
    <w:p w:rsidR="00702E3C" w:rsidRDefault="00702E3C"/>
    <w:tbl>
      <w:tblPr>
        <w:tblStyle w:val="Reetkatablice"/>
        <w:tblW w:w="0" w:type="auto"/>
        <w:tblLook w:val="04A0" w:firstRow="1" w:lastRow="0" w:firstColumn="1" w:lastColumn="0" w:noHBand="0" w:noVBand="1"/>
      </w:tblPr>
      <w:tblGrid>
        <w:gridCol w:w="2495"/>
        <w:gridCol w:w="1491"/>
        <w:gridCol w:w="2926"/>
        <w:gridCol w:w="2150"/>
      </w:tblGrid>
      <w:tr w:rsidR="00702E3C">
        <w:tc>
          <w:tcPr>
            <w:tcW w:w="9288" w:type="dxa"/>
            <w:gridSpan w:val="4"/>
            <w:shd w:val="clear" w:color="auto" w:fill="F8D2CC" w:themeFill="accent5" w:themeFillTint="32"/>
          </w:tcPr>
          <w:p w:rsidR="00702E3C" w:rsidRDefault="004B1C83">
            <w:r>
              <w:rPr>
                <w:b/>
              </w:rPr>
              <w:t>16.2.9.                                      Nomad nest Dragove</w:t>
            </w:r>
          </w:p>
        </w:tc>
      </w:tr>
      <w:tr w:rsidR="00702E3C">
        <w:tc>
          <w:tcPr>
            <w:tcW w:w="2620" w:type="dxa"/>
          </w:tcPr>
          <w:p w:rsidR="00702E3C" w:rsidRDefault="004B1C83">
            <w:r>
              <w:t>OPIS PROJEKTA</w:t>
            </w:r>
          </w:p>
        </w:tc>
        <w:tc>
          <w:tcPr>
            <w:tcW w:w="6668" w:type="dxa"/>
            <w:gridSpan w:val="3"/>
          </w:tcPr>
          <w:p w:rsidR="00702E3C" w:rsidRDefault="004B1C83">
            <w:r>
              <w:t xml:space="preserve">Ugradnjom infrastukrure brzog optičkog interneta i obnovom i revitalizacijom zapuštenih nastambi u naselju Dragove plan je osigurati digitalnim nomadima prostor za neometani rad na daljinu i odmor. </w:t>
            </w:r>
          </w:p>
        </w:tc>
      </w:tr>
      <w:tr w:rsidR="00702E3C">
        <w:tc>
          <w:tcPr>
            <w:tcW w:w="2620" w:type="dxa"/>
          </w:tcPr>
          <w:p w:rsidR="00702E3C" w:rsidRDefault="004B1C83">
            <w:r>
              <w:t>DOPRINOS OSTVARENJU POKAZATELJA ODRŽIVOSTI</w:t>
            </w:r>
          </w:p>
        </w:tc>
        <w:tc>
          <w:tcPr>
            <w:tcW w:w="6668" w:type="dxa"/>
            <w:gridSpan w:val="3"/>
          </w:tcPr>
          <w:p w:rsidR="00702E3C" w:rsidRDefault="004B1C83">
            <w:pPr>
              <w:pStyle w:val="Odlomakpopisa"/>
              <w:ind w:left="0"/>
            </w:pPr>
            <w:r>
              <w:t>Brzi internet je standard koji gosti očekuju, a optička mreža omogućava povećanje broja digitalnih nomada i produžetak sezone koji doprinosi stvaranju preduvjeta za održivi turizam i cjelogodišnje poslovanje.</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43"/>
              </w:numPr>
            </w:pPr>
            <w:r>
              <w:t>Općina Sali</w:t>
            </w:r>
          </w:p>
        </w:tc>
        <w:tc>
          <w:tcPr>
            <w:tcW w:w="2774" w:type="dxa"/>
          </w:tcPr>
          <w:p w:rsidR="00702E3C" w:rsidRDefault="004B1C83">
            <w:r>
              <w:t>LOKACIJA PROVEDBE</w:t>
            </w:r>
          </w:p>
          <w:p w:rsidR="00702E3C" w:rsidRDefault="00702E3C"/>
        </w:tc>
        <w:tc>
          <w:tcPr>
            <w:tcW w:w="1972" w:type="dxa"/>
          </w:tcPr>
          <w:p w:rsidR="00702E3C" w:rsidRDefault="004B1C83">
            <w:pPr>
              <w:numPr>
                <w:ilvl w:val="0"/>
                <w:numId w:val="43"/>
              </w:numPr>
            </w:pPr>
            <w:r>
              <w:t>Dugi otok, Dragove</w:t>
            </w:r>
          </w:p>
        </w:tc>
      </w:tr>
      <w:tr w:rsidR="00702E3C">
        <w:tc>
          <w:tcPr>
            <w:tcW w:w="2620" w:type="dxa"/>
          </w:tcPr>
          <w:p w:rsidR="00702E3C" w:rsidRDefault="004B1C83">
            <w:r>
              <w:t>POČETAK PROVEDBE</w:t>
            </w:r>
          </w:p>
        </w:tc>
        <w:tc>
          <w:tcPr>
            <w:tcW w:w="1922" w:type="dxa"/>
          </w:tcPr>
          <w:p w:rsidR="00702E3C" w:rsidRDefault="004B1C83">
            <w:r>
              <w:t>2027.</w:t>
            </w:r>
          </w:p>
        </w:tc>
        <w:tc>
          <w:tcPr>
            <w:tcW w:w="2774" w:type="dxa"/>
          </w:tcPr>
          <w:p w:rsidR="00702E3C" w:rsidRDefault="004B1C83">
            <w:r>
              <w:t>ZAVRŠETAK PROVEDBE</w:t>
            </w:r>
          </w:p>
        </w:tc>
        <w:tc>
          <w:tcPr>
            <w:tcW w:w="1972" w:type="dxa"/>
          </w:tcPr>
          <w:p w:rsidR="00702E3C" w:rsidRDefault="004B1C83">
            <w:r>
              <w:t>2029.</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Povećanje konkurentnosti Dugog otoka kao turističke destinacije kroz dostupnost modernih digitalnih usluga optičke infrastrukture</w:t>
            </w:r>
          </w:p>
          <w:p w:rsidR="00702E3C" w:rsidRDefault="004B1C83">
            <w:pPr>
              <w:pStyle w:val="Odlomakpopisa"/>
              <w:numPr>
                <w:ilvl w:val="0"/>
                <w:numId w:val="39"/>
              </w:numPr>
            </w:pPr>
            <w:r>
              <w:t>Selo za digitalne nomade</w:t>
            </w:r>
          </w:p>
        </w:tc>
      </w:tr>
      <w:tr w:rsidR="00702E3C">
        <w:tc>
          <w:tcPr>
            <w:tcW w:w="2620" w:type="dxa"/>
          </w:tcPr>
          <w:p w:rsidR="00702E3C" w:rsidRDefault="004B1C83">
            <w:r>
              <w:t>VRIJEDNOST PROJEKTA</w:t>
            </w:r>
          </w:p>
        </w:tc>
        <w:tc>
          <w:tcPr>
            <w:tcW w:w="1922" w:type="dxa"/>
          </w:tcPr>
          <w:p w:rsidR="00702E3C" w:rsidRDefault="004B1C83">
            <w:r>
              <w:t>2.000.000,00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DA</w:t>
            </w:r>
          </w:p>
        </w:tc>
      </w:tr>
    </w:tbl>
    <w:p w:rsidR="00702E3C" w:rsidRDefault="00702E3C"/>
    <w:p w:rsidR="00702E3C" w:rsidRDefault="00702E3C"/>
    <w:tbl>
      <w:tblPr>
        <w:tblStyle w:val="Reetkatablice"/>
        <w:tblW w:w="0" w:type="auto"/>
        <w:tblLook w:val="04A0" w:firstRow="1" w:lastRow="0" w:firstColumn="1" w:lastColumn="0" w:noHBand="0" w:noVBand="1"/>
      </w:tblPr>
      <w:tblGrid>
        <w:gridCol w:w="2495"/>
        <w:gridCol w:w="1491"/>
        <w:gridCol w:w="2926"/>
        <w:gridCol w:w="2150"/>
      </w:tblGrid>
      <w:tr w:rsidR="00702E3C">
        <w:tc>
          <w:tcPr>
            <w:tcW w:w="9288" w:type="dxa"/>
            <w:gridSpan w:val="4"/>
            <w:shd w:val="clear" w:color="auto" w:fill="F8D2CC" w:themeFill="accent5" w:themeFillTint="32"/>
          </w:tcPr>
          <w:p w:rsidR="00702E3C" w:rsidRDefault="004B1C83">
            <w:r>
              <w:rPr>
                <w:b/>
              </w:rPr>
              <w:t>16.2.10.                              Rekonstrukcija pristaništa u Brbinju</w:t>
            </w:r>
          </w:p>
        </w:tc>
      </w:tr>
      <w:tr w:rsidR="00702E3C">
        <w:tc>
          <w:tcPr>
            <w:tcW w:w="2620" w:type="dxa"/>
          </w:tcPr>
          <w:p w:rsidR="00702E3C" w:rsidRDefault="004B1C83">
            <w:r>
              <w:t>OPIS PROJEKTA</w:t>
            </w:r>
          </w:p>
        </w:tc>
        <w:tc>
          <w:tcPr>
            <w:tcW w:w="6668" w:type="dxa"/>
            <w:gridSpan w:val="3"/>
          </w:tcPr>
          <w:p w:rsidR="00702E3C" w:rsidRDefault="004B1C83">
            <w:r>
              <w:rPr>
                <w:rFonts w:ascii="Calibri" w:hAnsi="Calibri" w:cs="Calibri"/>
                <w:sz w:val="24"/>
                <w:szCs w:val="24"/>
              </w:rPr>
              <w:t>Poboljšanje dostupnosti otoka i sigurnosti uplova u skladu s prihvatnim kapacitetima</w:t>
            </w:r>
          </w:p>
        </w:tc>
      </w:tr>
      <w:tr w:rsidR="00702E3C">
        <w:tc>
          <w:tcPr>
            <w:tcW w:w="2620" w:type="dxa"/>
          </w:tcPr>
          <w:p w:rsidR="00702E3C" w:rsidRDefault="004B1C83">
            <w:r>
              <w:t xml:space="preserve">DOPRINOS OSTVARENJU </w:t>
            </w:r>
            <w:r>
              <w:lastRenderedPageBreak/>
              <w:t>POKAZATELJA ODRŽIVOSTI</w:t>
            </w:r>
          </w:p>
        </w:tc>
        <w:tc>
          <w:tcPr>
            <w:tcW w:w="6668" w:type="dxa"/>
            <w:gridSpan w:val="3"/>
          </w:tcPr>
          <w:p w:rsidR="00702E3C" w:rsidRDefault="00702E3C">
            <w:pPr>
              <w:spacing w:line="360" w:lineRule="auto"/>
              <w:rPr>
                <w:rFonts w:ascii="Times New Roman" w:hAnsi="Times New Roman" w:cs="Times New Roman"/>
                <w:sz w:val="24"/>
                <w:szCs w:val="24"/>
              </w:rPr>
            </w:pPr>
          </w:p>
          <w:p w:rsidR="00702E3C" w:rsidRDefault="004B1C83">
            <w:pPr>
              <w:spacing w:line="360" w:lineRule="auto"/>
            </w:pPr>
            <w:r>
              <w:rPr>
                <w:rFonts w:ascii="Times New Roman" w:hAnsi="Times New Roman" w:cs="Times New Roman"/>
                <w:sz w:val="24"/>
                <w:szCs w:val="24"/>
              </w:rPr>
              <w:lastRenderedPageBreak/>
              <w:t>Smanjenje sezonskog pritiska na Sali, bolja disperzija dolazaka.</w:t>
            </w:r>
          </w:p>
        </w:tc>
      </w:tr>
      <w:tr w:rsidR="00702E3C">
        <w:tc>
          <w:tcPr>
            <w:tcW w:w="2620" w:type="dxa"/>
          </w:tcPr>
          <w:p w:rsidR="00702E3C" w:rsidRDefault="004B1C83">
            <w:r>
              <w:lastRenderedPageBreak/>
              <w:t>NOSITELJ PROVEDBE</w:t>
            </w:r>
          </w:p>
        </w:tc>
        <w:tc>
          <w:tcPr>
            <w:tcW w:w="1922" w:type="dxa"/>
          </w:tcPr>
          <w:p w:rsidR="00702E3C" w:rsidRDefault="004B1C83">
            <w:pPr>
              <w:pStyle w:val="Odlomakpopisa"/>
              <w:numPr>
                <w:ilvl w:val="0"/>
                <w:numId w:val="43"/>
              </w:numPr>
            </w:pPr>
            <w:r>
              <w:t>Općina Sali</w:t>
            </w:r>
          </w:p>
          <w:p w:rsidR="00702E3C" w:rsidRDefault="004B1C83">
            <w:pPr>
              <w:pStyle w:val="Odlomakpopisa"/>
              <w:numPr>
                <w:ilvl w:val="0"/>
                <w:numId w:val="43"/>
              </w:numPr>
            </w:pPr>
            <w:r>
              <w:t>ŽLU</w:t>
            </w:r>
          </w:p>
        </w:tc>
        <w:tc>
          <w:tcPr>
            <w:tcW w:w="2774" w:type="dxa"/>
          </w:tcPr>
          <w:p w:rsidR="00702E3C" w:rsidRDefault="004B1C83">
            <w:r>
              <w:t>LOKACIJA PROVEDBE</w:t>
            </w:r>
          </w:p>
          <w:p w:rsidR="00702E3C" w:rsidRDefault="00702E3C"/>
        </w:tc>
        <w:tc>
          <w:tcPr>
            <w:tcW w:w="1972" w:type="dxa"/>
          </w:tcPr>
          <w:p w:rsidR="00702E3C" w:rsidRDefault="004B1C83">
            <w:pPr>
              <w:numPr>
                <w:ilvl w:val="0"/>
                <w:numId w:val="43"/>
              </w:numPr>
            </w:pPr>
            <w:r>
              <w:t>Dugi otok, Brbinj</w:t>
            </w: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2028.</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Bolja povezanost</w:t>
            </w:r>
          </w:p>
          <w:p w:rsidR="00702E3C" w:rsidRDefault="004B1C83">
            <w:pPr>
              <w:pStyle w:val="Odlomakpopisa"/>
              <w:numPr>
                <w:ilvl w:val="0"/>
                <w:numId w:val="39"/>
              </w:numPr>
            </w:pPr>
            <w:r>
              <w:t>Poboljšana infrastruktura</w:t>
            </w:r>
          </w:p>
        </w:tc>
      </w:tr>
      <w:tr w:rsidR="00702E3C">
        <w:tc>
          <w:tcPr>
            <w:tcW w:w="2620" w:type="dxa"/>
          </w:tcPr>
          <w:p w:rsidR="00702E3C" w:rsidRDefault="004B1C83">
            <w:r>
              <w:t>VRIJEDNOST PROJEKTA</w:t>
            </w:r>
          </w:p>
        </w:tc>
        <w:tc>
          <w:tcPr>
            <w:tcW w:w="1922" w:type="dxa"/>
          </w:tcPr>
          <w:p w:rsidR="00702E3C" w:rsidRDefault="004B1C83">
            <w:r>
              <w:t>2.300.000,00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DA</w:t>
            </w:r>
          </w:p>
        </w:tc>
      </w:tr>
    </w:tbl>
    <w:p w:rsidR="00702E3C" w:rsidRDefault="00702E3C"/>
    <w:p w:rsidR="00702E3C" w:rsidRDefault="00702E3C"/>
    <w:p w:rsidR="00702E3C" w:rsidRDefault="00702E3C"/>
    <w:tbl>
      <w:tblPr>
        <w:tblStyle w:val="Reetkatablice"/>
        <w:tblW w:w="0" w:type="auto"/>
        <w:tblLook w:val="04A0" w:firstRow="1" w:lastRow="0" w:firstColumn="1" w:lastColumn="0" w:noHBand="0" w:noVBand="1"/>
      </w:tblPr>
      <w:tblGrid>
        <w:gridCol w:w="2542"/>
        <w:gridCol w:w="1424"/>
        <w:gridCol w:w="2938"/>
        <w:gridCol w:w="2158"/>
      </w:tblGrid>
      <w:tr w:rsidR="00702E3C">
        <w:tc>
          <w:tcPr>
            <w:tcW w:w="9288" w:type="dxa"/>
            <w:gridSpan w:val="4"/>
            <w:shd w:val="clear" w:color="auto" w:fill="F8D2CC" w:themeFill="accent5" w:themeFillTint="32"/>
          </w:tcPr>
          <w:p w:rsidR="00702E3C" w:rsidRDefault="004B1C83">
            <w:r>
              <w:rPr>
                <w:b/>
              </w:rPr>
              <w:t>16.2.11.              “Jesen na Dugom otoku” - razvoj izvansezonskog proizvoda</w:t>
            </w:r>
          </w:p>
        </w:tc>
      </w:tr>
      <w:tr w:rsidR="00702E3C">
        <w:tc>
          <w:tcPr>
            <w:tcW w:w="2620" w:type="dxa"/>
          </w:tcPr>
          <w:p w:rsidR="00702E3C" w:rsidRDefault="004B1C83">
            <w:r>
              <w:t>OPIS PROJEKTA</w:t>
            </w:r>
          </w:p>
        </w:tc>
        <w:tc>
          <w:tcPr>
            <w:tcW w:w="6668" w:type="dxa"/>
            <w:gridSpan w:val="3"/>
          </w:tcPr>
          <w:p w:rsidR="00702E3C" w:rsidRDefault="004B1C83">
            <w:r>
              <w:rPr>
                <w:rFonts w:ascii="Times New Roman" w:hAnsi="Times New Roman" w:cs="Times New Roman"/>
                <w:sz w:val="24"/>
                <w:szCs w:val="24"/>
              </w:rPr>
              <w:t>Produženje sezone kroz kulturno-gastronomske vikende i storytelling rute</w:t>
            </w:r>
          </w:p>
        </w:tc>
      </w:tr>
      <w:tr w:rsidR="00702E3C">
        <w:tc>
          <w:tcPr>
            <w:tcW w:w="2620" w:type="dxa"/>
          </w:tcPr>
          <w:p w:rsidR="00702E3C" w:rsidRDefault="004B1C83">
            <w:r>
              <w:t>DOPRINOS OSTVARENJU POKAZATELJA ODRŽIVOSTI</w:t>
            </w:r>
          </w:p>
        </w:tc>
        <w:tc>
          <w:tcPr>
            <w:tcW w:w="6668" w:type="dxa"/>
            <w:gridSpan w:val="3"/>
          </w:tcPr>
          <w:p w:rsidR="00702E3C" w:rsidRDefault="004B1C83">
            <w:pPr>
              <w:spacing w:line="360" w:lineRule="auto"/>
              <w:rPr>
                <w:rFonts w:ascii="Times New Roman" w:hAnsi="Times New Roman" w:cs="Times New Roman"/>
                <w:sz w:val="24"/>
                <w:szCs w:val="24"/>
              </w:rPr>
            </w:pPr>
            <w:r>
              <w:rPr>
                <w:rFonts w:ascii="Times New Roman" w:hAnsi="Times New Roman" w:cs="Times New Roman"/>
                <w:sz w:val="24"/>
                <w:szCs w:val="24"/>
              </w:rPr>
              <w:t>Povećanje broja dolazaka i noćenja u rujnu i listopadu</w:t>
            </w:r>
          </w:p>
          <w:p w:rsidR="00702E3C" w:rsidRDefault="004B1C83">
            <w:pPr>
              <w:spacing w:line="360" w:lineRule="auto"/>
            </w:pPr>
            <w:r>
              <w:rPr>
                <w:rFonts w:ascii="Times New Roman" w:hAnsi="Times New Roman" w:cs="Times New Roman"/>
                <w:sz w:val="24"/>
                <w:szCs w:val="24"/>
              </w:rPr>
              <w:t>Smanjenje sezonskog pritiska na Sali, bolja disperzija dolazaka.</w:t>
            </w:r>
          </w:p>
        </w:tc>
      </w:tr>
      <w:tr w:rsidR="00702E3C">
        <w:tc>
          <w:tcPr>
            <w:tcW w:w="2620" w:type="dxa"/>
          </w:tcPr>
          <w:p w:rsidR="00702E3C" w:rsidRDefault="004B1C83">
            <w:r>
              <w:t>NOSITELJ PROVEDBE</w:t>
            </w:r>
          </w:p>
        </w:tc>
        <w:tc>
          <w:tcPr>
            <w:tcW w:w="1922" w:type="dxa"/>
          </w:tcPr>
          <w:p w:rsidR="00702E3C" w:rsidRDefault="004B1C83">
            <w:pPr>
              <w:pStyle w:val="Odlomakpopisa"/>
              <w:numPr>
                <w:ilvl w:val="0"/>
                <w:numId w:val="43"/>
              </w:numPr>
            </w:pPr>
            <w:r>
              <w:t>TZO Sali</w:t>
            </w:r>
          </w:p>
        </w:tc>
        <w:tc>
          <w:tcPr>
            <w:tcW w:w="2774" w:type="dxa"/>
          </w:tcPr>
          <w:p w:rsidR="00702E3C" w:rsidRDefault="004B1C83">
            <w:r>
              <w:t>LOKACIJA PROVEDBE</w:t>
            </w:r>
          </w:p>
          <w:p w:rsidR="00702E3C" w:rsidRDefault="00702E3C"/>
        </w:tc>
        <w:tc>
          <w:tcPr>
            <w:tcW w:w="1972" w:type="dxa"/>
          </w:tcPr>
          <w:p w:rsidR="00702E3C" w:rsidRDefault="004B1C83">
            <w:pPr>
              <w:numPr>
                <w:ilvl w:val="0"/>
                <w:numId w:val="43"/>
              </w:numPr>
            </w:pPr>
            <w:r>
              <w:t>Dugi otok</w:t>
            </w:r>
          </w:p>
        </w:tc>
      </w:tr>
      <w:tr w:rsidR="00702E3C">
        <w:tc>
          <w:tcPr>
            <w:tcW w:w="2620" w:type="dxa"/>
          </w:tcPr>
          <w:p w:rsidR="00702E3C" w:rsidRDefault="004B1C83">
            <w:r>
              <w:t>POČETAK PROVEDBE</w:t>
            </w:r>
          </w:p>
        </w:tc>
        <w:tc>
          <w:tcPr>
            <w:tcW w:w="1922" w:type="dxa"/>
          </w:tcPr>
          <w:p w:rsidR="00702E3C" w:rsidRDefault="004B1C83">
            <w:r>
              <w:t>2026.</w:t>
            </w:r>
          </w:p>
        </w:tc>
        <w:tc>
          <w:tcPr>
            <w:tcW w:w="2774" w:type="dxa"/>
          </w:tcPr>
          <w:p w:rsidR="00702E3C" w:rsidRDefault="004B1C83">
            <w:r>
              <w:t>ZAVRŠETAK PROVEDBE</w:t>
            </w:r>
          </w:p>
        </w:tc>
        <w:tc>
          <w:tcPr>
            <w:tcW w:w="1972" w:type="dxa"/>
          </w:tcPr>
          <w:p w:rsidR="00702E3C" w:rsidRDefault="004B1C83">
            <w:r>
              <w:t>2026.</w:t>
            </w:r>
          </w:p>
        </w:tc>
      </w:tr>
      <w:tr w:rsidR="00702E3C">
        <w:tc>
          <w:tcPr>
            <w:tcW w:w="2620" w:type="dxa"/>
          </w:tcPr>
          <w:p w:rsidR="00702E3C" w:rsidRDefault="004B1C83">
            <w:r>
              <w:t>KLJUČNE TOČKE OSTVARENJA PROJEKTA</w:t>
            </w:r>
          </w:p>
        </w:tc>
        <w:tc>
          <w:tcPr>
            <w:tcW w:w="6668" w:type="dxa"/>
            <w:gridSpan w:val="3"/>
          </w:tcPr>
          <w:p w:rsidR="00702E3C" w:rsidRDefault="004B1C83">
            <w:pPr>
              <w:pStyle w:val="Odlomakpopisa"/>
              <w:numPr>
                <w:ilvl w:val="0"/>
                <w:numId w:val="39"/>
              </w:numPr>
            </w:pPr>
            <w:r>
              <w:t>Kulturno- gastronomske rute</w:t>
            </w:r>
          </w:p>
          <w:p w:rsidR="00702E3C" w:rsidRDefault="004B1C83">
            <w:pPr>
              <w:pStyle w:val="Odlomakpopisa"/>
              <w:numPr>
                <w:ilvl w:val="0"/>
                <w:numId w:val="39"/>
              </w:numPr>
            </w:pPr>
            <w:r>
              <w:t>Novi proizvod izvan sezone - disperzija dolazaka</w:t>
            </w:r>
          </w:p>
        </w:tc>
      </w:tr>
      <w:tr w:rsidR="00702E3C">
        <w:tc>
          <w:tcPr>
            <w:tcW w:w="2620" w:type="dxa"/>
          </w:tcPr>
          <w:p w:rsidR="00702E3C" w:rsidRDefault="004B1C83">
            <w:r>
              <w:t>VRIJEDNOST PROJEKTA</w:t>
            </w:r>
          </w:p>
        </w:tc>
        <w:tc>
          <w:tcPr>
            <w:tcW w:w="1922" w:type="dxa"/>
          </w:tcPr>
          <w:p w:rsidR="00702E3C" w:rsidRDefault="004B1C83">
            <w:r>
              <w:t>48.000,00</w:t>
            </w:r>
          </w:p>
        </w:tc>
        <w:tc>
          <w:tcPr>
            <w:tcW w:w="2774" w:type="dxa"/>
          </w:tcPr>
          <w:p w:rsidR="00702E3C" w:rsidRDefault="004B1C83">
            <w:r>
              <w:t>VLASTITA SREDSTVA/SUFINANCIRANJE</w:t>
            </w:r>
          </w:p>
        </w:tc>
        <w:tc>
          <w:tcPr>
            <w:tcW w:w="1972" w:type="dxa"/>
          </w:tcPr>
          <w:p w:rsidR="00702E3C" w:rsidRDefault="004B1C83">
            <w:r>
              <w:t>vlastita i regionalna sredstva/nacionalni fondovi/EU fondovi</w:t>
            </w:r>
          </w:p>
        </w:tc>
      </w:tr>
      <w:tr w:rsidR="00702E3C">
        <w:tc>
          <w:tcPr>
            <w:tcW w:w="2620" w:type="dxa"/>
          </w:tcPr>
          <w:p w:rsidR="00702E3C" w:rsidRDefault="004B1C83">
            <w:r>
              <w:t>POTREBNA STUDIJSKA/PROJEKTNA DOKUMENTACIJA</w:t>
            </w:r>
          </w:p>
        </w:tc>
        <w:tc>
          <w:tcPr>
            <w:tcW w:w="6668" w:type="dxa"/>
            <w:gridSpan w:val="3"/>
          </w:tcPr>
          <w:p w:rsidR="00702E3C" w:rsidRDefault="004B1C83">
            <w:r>
              <w:t>NE</w:t>
            </w:r>
          </w:p>
        </w:tc>
      </w:tr>
    </w:tbl>
    <w:p w:rsidR="00702E3C" w:rsidRDefault="00702E3C"/>
    <w:p w:rsidR="00702E3C" w:rsidRDefault="00702E3C"/>
    <w:tbl>
      <w:tblPr>
        <w:tblStyle w:val="Reetkatablice"/>
        <w:tblW w:w="0" w:type="auto"/>
        <w:tblLook w:val="04A0" w:firstRow="1" w:lastRow="0" w:firstColumn="1" w:lastColumn="0" w:noHBand="0" w:noVBand="1"/>
      </w:tblPr>
      <w:tblGrid>
        <w:gridCol w:w="2444"/>
        <w:gridCol w:w="1647"/>
        <w:gridCol w:w="2865"/>
        <w:gridCol w:w="2106"/>
      </w:tblGrid>
      <w:tr w:rsidR="00702E3C">
        <w:tc>
          <w:tcPr>
            <w:tcW w:w="9288" w:type="dxa"/>
            <w:gridSpan w:val="4"/>
            <w:shd w:val="clear" w:color="auto" w:fill="F8D2CC" w:themeFill="accent5" w:themeFillTint="32"/>
          </w:tcPr>
          <w:p w:rsidR="00702E3C" w:rsidRDefault="004B1C83">
            <w:r>
              <w:rPr>
                <w:b/>
              </w:rPr>
              <w:t>16.2.12.                    Valorizacija arheološkog lokaliteta Gruh - Sv. Ivan</w:t>
            </w:r>
          </w:p>
        </w:tc>
      </w:tr>
      <w:tr w:rsidR="00702E3C">
        <w:tc>
          <w:tcPr>
            <w:tcW w:w="2514" w:type="dxa"/>
          </w:tcPr>
          <w:p w:rsidR="00702E3C" w:rsidRDefault="004B1C83">
            <w:r>
              <w:t>OPIS PROJEKTA</w:t>
            </w:r>
          </w:p>
        </w:tc>
        <w:tc>
          <w:tcPr>
            <w:tcW w:w="6774" w:type="dxa"/>
            <w:gridSpan w:val="3"/>
          </w:tcPr>
          <w:p w:rsidR="00702E3C" w:rsidRDefault="004B1C83">
            <w:r>
              <w:t>Konzervacija, digitalna interpretacija i uključivanje lokaliteta u turističku ponudu.</w:t>
            </w:r>
          </w:p>
        </w:tc>
      </w:tr>
      <w:tr w:rsidR="00702E3C">
        <w:tc>
          <w:tcPr>
            <w:tcW w:w="2514" w:type="dxa"/>
          </w:tcPr>
          <w:p w:rsidR="00702E3C" w:rsidRDefault="004B1C83">
            <w:r>
              <w:t>DOPRINOS OSTVARENJU POKAZATELJA ODRŽIVOSTI</w:t>
            </w:r>
          </w:p>
        </w:tc>
        <w:tc>
          <w:tcPr>
            <w:tcW w:w="6774" w:type="dxa"/>
            <w:gridSpan w:val="3"/>
          </w:tcPr>
          <w:p w:rsidR="00702E3C" w:rsidRDefault="004B1C83">
            <w:pPr>
              <w:spacing w:line="360" w:lineRule="auto"/>
            </w:pPr>
            <w:r>
              <w:rPr>
                <w:rFonts w:ascii="Times New Roman" w:hAnsi="Times New Roman" w:cs="Times New Roman"/>
                <w:sz w:val="24"/>
                <w:szCs w:val="24"/>
              </w:rPr>
              <w:t>Očuvanje baštine, disperzija posjetitelja, razvoj kulturnog turizma.</w:t>
            </w:r>
          </w:p>
        </w:tc>
      </w:tr>
      <w:tr w:rsidR="00702E3C">
        <w:tc>
          <w:tcPr>
            <w:tcW w:w="2514" w:type="dxa"/>
          </w:tcPr>
          <w:p w:rsidR="00702E3C" w:rsidRDefault="004B1C83">
            <w:r>
              <w:t>NOSITELJ PROVEDBE</w:t>
            </w:r>
          </w:p>
        </w:tc>
        <w:tc>
          <w:tcPr>
            <w:tcW w:w="1684" w:type="dxa"/>
          </w:tcPr>
          <w:p w:rsidR="00702E3C" w:rsidRDefault="004B1C83">
            <w:pPr>
              <w:pStyle w:val="Odlomakpopisa"/>
              <w:numPr>
                <w:ilvl w:val="0"/>
                <w:numId w:val="43"/>
              </w:numPr>
            </w:pPr>
            <w:r>
              <w:t>TZO Sali</w:t>
            </w:r>
          </w:p>
          <w:p w:rsidR="00702E3C" w:rsidRDefault="004B1C83">
            <w:pPr>
              <w:pStyle w:val="Odlomakpopisa"/>
              <w:numPr>
                <w:ilvl w:val="0"/>
                <w:numId w:val="43"/>
              </w:numPr>
            </w:pPr>
            <w:r>
              <w:t>Općina Sali</w:t>
            </w:r>
          </w:p>
          <w:p w:rsidR="00702E3C" w:rsidRDefault="004B1C83">
            <w:pPr>
              <w:pStyle w:val="Odlomakpopisa"/>
              <w:numPr>
                <w:ilvl w:val="0"/>
                <w:numId w:val="43"/>
              </w:numPr>
            </w:pPr>
            <w:r>
              <w:t>Sveučilište u Zadru</w:t>
            </w:r>
          </w:p>
        </w:tc>
        <w:tc>
          <w:tcPr>
            <w:tcW w:w="2934" w:type="dxa"/>
          </w:tcPr>
          <w:p w:rsidR="00702E3C" w:rsidRDefault="004B1C83">
            <w:r>
              <w:t>LOKACIJA PROVEDBE</w:t>
            </w:r>
          </w:p>
          <w:p w:rsidR="00702E3C" w:rsidRDefault="00702E3C"/>
        </w:tc>
        <w:tc>
          <w:tcPr>
            <w:tcW w:w="2156" w:type="dxa"/>
          </w:tcPr>
          <w:p w:rsidR="00702E3C" w:rsidRDefault="004B1C83">
            <w:pPr>
              <w:numPr>
                <w:ilvl w:val="0"/>
                <w:numId w:val="43"/>
              </w:numPr>
            </w:pPr>
            <w:r>
              <w:t>Dugi otok</w:t>
            </w:r>
          </w:p>
        </w:tc>
      </w:tr>
      <w:tr w:rsidR="00702E3C">
        <w:tc>
          <w:tcPr>
            <w:tcW w:w="2514" w:type="dxa"/>
          </w:tcPr>
          <w:p w:rsidR="00702E3C" w:rsidRDefault="004B1C83">
            <w:r>
              <w:t>POČETAK PROVEDBE</w:t>
            </w:r>
          </w:p>
        </w:tc>
        <w:tc>
          <w:tcPr>
            <w:tcW w:w="1684" w:type="dxa"/>
          </w:tcPr>
          <w:p w:rsidR="00702E3C" w:rsidRDefault="004B1C83">
            <w:r>
              <w:t>2026.</w:t>
            </w:r>
          </w:p>
        </w:tc>
        <w:tc>
          <w:tcPr>
            <w:tcW w:w="2934" w:type="dxa"/>
          </w:tcPr>
          <w:p w:rsidR="00702E3C" w:rsidRDefault="004B1C83">
            <w:r>
              <w:t>ZAVRŠETAK PROVEDBE</w:t>
            </w:r>
          </w:p>
        </w:tc>
        <w:tc>
          <w:tcPr>
            <w:tcW w:w="2156" w:type="dxa"/>
          </w:tcPr>
          <w:p w:rsidR="00702E3C" w:rsidRDefault="004B1C83">
            <w:r>
              <w:t>2027.</w:t>
            </w:r>
          </w:p>
        </w:tc>
      </w:tr>
      <w:tr w:rsidR="00702E3C">
        <w:tc>
          <w:tcPr>
            <w:tcW w:w="2514" w:type="dxa"/>
          </w:tcPr>
          <w:p w:rsidR="00702E3C" w:rsidRDefault="004B1C83">
            <w:r>
              <w:t>KLJUČNE TOČKE OSTVARENJA PROJEKTA</w:t>
            </w:r>
          </w:p>
        </w:tc>
        <w:tc>
          <w:tcPr>
            <w:tcW w:w="6774" w:type="dxa"/>
            <w:gridSpan w:val="3"/>
          </w:tcPr>
          <w:p w:rsidR="00702E3C" w:rsidRDefault="004B1C83">
            <w:pPr>
              <w:pStyle w:val="Odlomakpopisa"/>
              <w:numPr>
                <w:ilvl w:val="0"/>
                <w:numId w:val="39"/>
              </w:numPr>
            </w:pPr>
            <w:r>
              <w:t>Kulturne rute</w:t>
            </w:r>
          </w:p>
          <w:p w:rsidR="00702E3C" w:rsidRDefault="004B1C83">
            <w:pPr>
              <w:pStyle w:val="Odlomakpopisa"/>
              <w:numPr>
                <w:ilvl w:val="0"/>
                <w:numId w:val="39"/>
              </w:numPr>
            </w:pPr>
            <w:r>
              <w:t>Novi proizvod izvan sezone - disperzija dolazaka</w:t>
            </w:r>
          </w:p>
        </w:tc>
      </w:tr>
      <w:tr w:rsidR="00702E3C">
        <w:tc>
          <w:tcPr>
            <w:tcW w:w="2514" w:type="dxa"/>
          </w:tcPr>
          <w:p w:rsidR="00702E3C" w:rsidRDefault="004B1C83">
            <w:r>
              <w:t>VRIJEDNOST PROJEKTA</w:t>
            </w:r>
          </w:p>
        </w:tc>
        <w:tc>
          <w:tcPr>
            <w:tcW w:w="1684" w:type="dxa"/>
          </w:tcPr>
          <w:p w:rsidR="00702E3C" w:rsidRDefault="004B1C83">
            <w:r>
              <w:t>280.000,00</w:t>
            </w:r>
          </w:p>
        </w:tc>
        <w:tc>
          <w:tcPr>
            <w:tcW w:w="2934" w:type="dxa"/>
          </w:tcPr>
          <w:p w:rsidR="00702E3C" w:rsidRDefault="004B1C83">
            <w:r>
              <w:t>VLASTITA SREDSTVA/SUFINANCIRANJE</w:t>
            </w:r>
          </w:p>
        </w:tc>
        <w:tc>
          <w:tcPr>
            <w:tcW w:w="2156" w:type="dxa"/>
          </w:tcPr>
          <w:p w:rsidR="00702E3C" w:rsidRDefault="004B1C83">
            <w:r>
              <w:t>vlastita i regionalna sredstva/nacionalni fondovi/EU fondovi</w:t>
            </w:r>
          </w:p>
        </w:tc>
      </w:tr>
      <w:tr w:rsidR="00702E3C">
        <w:tc>
          <w:tcPr>
            <w:tcW w:w="2514" w:type="dxa"/>
          </w:tcPr>
          <w:p w:rsidR="00702E3C" w:rsidRDefault="004B1C83">
            <w:r>
              <w:t>POTREBNA STUDIJSKA/PROJEKTNA DOKUMENTACIJA</w:t>
            </w:r>
          </w:p>
        </w:tc>
        <w:tc>
          <w:tcPr>
            <w:tcW w:w="6774" w:type="dxa"/>
            <w:gridSpan w:val="3"/>
          </w:tcPr>
          <w:p w:rsidR="00702E3C" w:rsidRDefault="004B1C83">
            <w:r>
              <w:t>NE</w:t>
            </w:r>
          </w:p>
        </w:tc>
      </w:tr>
    </w:tbl>
    <w:p w:rsidR="00702E3C" w:rsidRDefault="00702E3C"/>
    <w:p w:rsidR="00702E3C" w:rsidRDefault="004B1C83">
      <w:pPr>
        <w:pStyle w:val="Naslov1"/>
        <w:numPr>
          <w:ilvl w:val="0"/>
          <w:numId w:val="23"/>
        </w:numPr>
        <w:rPr>
          <w:rFonts w:ascii="Times New Roman" w:hAnsi="Times New Roman" w:cs="Times New Roman"/>
          <w:b/>
          <w:bCs/>
        </w:rPr>
      </w:pPr>
      <w:bookmarkStart w:id="131" w:name="_Toc217040757"/>
      <w:r>
        <w:rPr>
          <w:rFonts w:ascii="Times New Roman" w:hAnsi="Times New Roman" w:cs="Times New Roman"/>
          <w:b/>
          <w:bCs/>
        </w:rPr>
        <w:t>MJERENJE NAPRETKA I IZVJEŠĆE O PROVEDBI</w:t>
      </w:r>
      <w:bookmarkEnd w:id="131"/>
      <w:r>
        <w:rPr>
          <w:rFonts w:ascii="Times New Roman" w:hAnsi="Times New Roman" w:cs="Times New Roman"/>
          <w:b/>
          <w:bCs/>
        </w:rPr>
        <w:t xml:space="preserve"> </w:t>
      </w:r>
    </w:p>
    <w:p w:rsidR="00702E3C" w:rsidRDefault="004B1C83">
      <w:pPr>
        <w:pStyle w:val="Naslov2"/>
        <w:numPr>
          <w:ilvl w:val="1"/>
          <w:numId w:val="23"/>
        </w:numPr>
        <w:rPr>
          <w:rFonts w:ascii="Times New Roman" w:hAnsi="Times New Roman" w:cs="Times New Roman"/>
        </w:rPr>
      </w:pPr>
      <w:bookmarkStart w:id="132" w:name="_Toc217040758"/>
      <w:r>
        <w:rPr>
          <w:rFonts w:ascii="Times New Roman" w:hAnsi="Times New Roman" w:cs="Times New Roman"/>
        </w:rPr>
        <w:t>Podrška i implementacija Plana upravljanja destinacijom</w:t>
      </w:r>
      <w:bookmarkEnd w:id="132"/>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Turistička zajednica je dužna u izradu Plana upravljanja destinacijom uključiti sve relevantne dionike u sustavu turizma i sustavu upravljanja turizmom, koji su zainteresirani za razvoj turističke destinacije i/ili mogu utjecati na njen razvoj. Time se osigurava prepoznavanje i koordinacija različitih funkcija u cilju upravljanja razvojem destinacije u smjeru održivosti.</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Usvajanjem Plana upravljanja na predstavničkom tijelu jedinice lokalne odnosno područne (regionalne) samouprave, plan dobiva zakonsku snagu temeljem ZOT-a i pripadajućih </w:t>
      </w:r>
      <w:r>
        <w:rPr>
          <w:rFonts w:ascii="Times New Roman" w:hAnsi="Times New Roman" w:cs="Times New Roman"/>
          <w:sz w:val="24"/>
          <w:szCs w:val="24"/>
        </w:rPr>
        <w:lastRenderedPageBreak/>
        <w:t>pravilnika. Time se omogućuje njegova primjena i implementacija kroz integraciju u javne politike, razvojne planove i odluke nadležnih tijela.</w:t>
      </w:r>
    </w:p>
    <w:p w:rsidR="00702E3C" w:rsidRDefault="004B1C83">
      <w:pPr>
        <w:pStyle w:val="Naslov2"/>
        <w:numPr>
          <w:ilvl w:val="1"/>
          <w:numId w:val="23"/>
        </w:numPr>
        <w:rPr>
          <w:rFonts w:ascii="Times New Roman" w:hAnsi="Times New Roman" w:cs="Times New Roman"/>
        </w:rPr>
      </w:pPr>
      <w:bookmarkStart w:id="133" w:name="_Toc217040759"/>
      <w:r>
        <w:rPr>
          <w:rFonts w:ascii="Times New Roman" w:hAnsi="Times New Roman" w:cs="Times New Roman"/>
        </w:rPr>
        <w:t>Izvješće o provedbi</w:t>
      </w:r>
      <w:bookmarkEnd w:id="133"/>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Provedba Plana zahtijeva redovito praćenje i izvješćivanje svih uključenih dionika. Potrebno je uspostaviti vremenske intervale (godišnje) za provjeru napretka provedbe mjera i aktivnosti, evaluaciju pokazatelja održivosti i identifikaciju eventualnih prepreka. Ako se uoče značajnija odstupanja ili problemi, predlaže se pravovremeno izvještavanje predstavničkog tijela JLS-a i izmjena Plana.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Turističko vijeće Turističke zajednice podnosi godišnje izvješće o provedbi Plana upravljanja predstavničkom tijelu JLS-a najkasnije do 31. ožujka tekuće godine, za prethodnu godinu.</w:t>
      </w:r>
    </w:p>
    <w:p w:rsidR="00702E3C" w:rsidRDefault="004B1C83">
      <w:pPr>
        <w:pStyle w:val="Naslov1"/>
        <w:numPr>
          <w:ilvl w:val="0"/>
          <w:numId w:val="23"/>
        </w:numPr>
        <w:rPr>
          <w:rFonts w:ascii="Times New Roman" w:hAnsi="Times New Roman" w:cs="Times New Roman"/>
          <w:b/>
          <w:bCs/>
        </w:rPr>
      </w:pPr>
      <w:bookmarkStart w:id="134" w:name="_Toc217040760"/>
      <w:r>
        <w:rPr>
          <w:rFonts w:ascii="Times New Roman" w:hAnsi="Times New Roman" w:cs="Times New Roman"/>
          <w:b/>
          <w:bCs/>
        </w:rPr>
        <w:t>ZAKLJUČAK</w:t>
      </w:r>
      <w:bookmarkEnd w:id="134"/>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Plan upravljanja turističkom destinacijom Dugi otok – Zverinac – Lavdara osigurava cjelovit i koordiniran pristup razvoju turizma na lokalnoj razini. Dokument se temelji na smjernicama Ministarstva turizma i sporta, važećim zakonima te na analitičkom i participativnom procesu izrade.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Sadrži sustavno razrađene dijelove: od analize stanja, definiranja razvojnih prioriteta i ciljeva, mjera i aktivnosti, do prijedloga projekata i sustava praćenja provedbe. Uključuje sve dionike: JLS, Turističku zajednicu, lokalno stanovništvo, poduzetnike i institucije.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Naglasak se stavlja na:</w:t>
      </w:r>
    </w:p>
    <w:p w:rsidR="00702E3C" w:rsidRDefault="004B1C83">
      <w:pPr>
        <w:pStyle w:val="Odlomakpopisa"/>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razvoj održivog i cjelogodišnjeg turizma,</w:t>
      </w:r>
    </w:p>
    <w:p w:rsidR="00702E3C" w:rsidRDefault="004B1C83">
      <w:pPr>
        <w:pStyle w:val="Odlomakpopisa"/>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valorizaciju kulturnih i prirodnih resursa,</w:t>
      </w:r>
    </w:p>
    <w:p w:rsidR="00702E3C" w:rsidRDefault="004B1C83">
      <w:pPr>
        <w:pStyle w:val="Odlomakpopisa"/>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upravljanje turističkim tokovima i prihvatnim kapacitetom,</w:t>
      </w:r>
    </w:p>
    <w:p w:rsidR="00702E3C" w:rsidRDefault="004B1C83">
      <w:pPr>
        <w:pStyle w:val="Odlomakpopisa"/>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jačanje kvalitete smještaja, usluga i ljudskih potencijala,</w:t>
      </w:r>
    </w:p>
    <w:p w:rsidR="00702E3C" w:rsidRDefault="004B1C83">
      <w:pPr>
        <w:pStyle w:val="Odlomakpopisa"/>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povezivanje lokalne zajednice i turizma.</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Uspješna provedba Plana ovisi o kontinuiranoj suradnji svih dionika, dostupnosti financiranja i institucionalnoj podršci. Plan upravljanja predstavlja živi dokument koji se po potrebi može revidirati i nadopunjavati sukladno razvojnim okolnostima i evaluaciji provedbe.</w:t>
      </w:r>
    </w:p>
    <w:p w:rsidR="00702E3C" w:rsidRDefault="004B1C83">
      <w:pPr>
        <w:spacing w:line="360" w:lineRule="auto"/>
        <w:jc w:val="both"/>
        <w:rPr>
          <w:rFonts w:ascii="Times New Roman" w:hAnsi="Times New Roman" w:cs="Times New Roman"/>
          <w:sz w:val="24"/>
          <w:szCs w:val="24"/>
        </w:rPr>
      </w:pPr>
      <w:r>
        <w:rPr>
          <w:rFonts w:ascii="Times New Roman" w:hAnsi="Times New Roman" w:cs="Times New Roman"/>
          <w:sz w:val="24"/>
          <w:szCs w:val="24"/>
        </w:rPr>
        <w:t>Služi kao alat za usmjereno i odgovorno upravljanje turizmom, koji dugoročno doprinosi očuvanju baštine, kvaliteti života stanovnika i konkurentnosti destinacije.</w:t>
      </w:r>
    </w:p>
    <w:p w:rsidR="00702E3C" w:rsidRDefault="004B1C83">
      <w:pPr>
        <w:pStyle w:val="Naslov1"/>
        <w:numPr>
          <w:ilvl w:val="0"/>
          <w:numId w:val="23"/>
        </w:numPr>
        <w:rPr>
          <w:rFonts w:ascii="Times New Roman" w:hAnsi="Times New Roman" w:cs="Times New Roman"/>
          <w:b/>
          <w:bCs/>
        </w:rPr>
      </w:pPr>
      <w:bookmarkStart w:id="135" w:name="_Toc217040761"/>
      <w:r>
        <w:rPr>
          <w:rFonts w:ascii="Times New Roman" w:hAnsi="Times New Roman" w:cs="Times New Roman"/>
          <w:b/>
          <w:bCs/>
        </w:rPr>
        <w:lastRenderedPageBreak/>
        <w:t>PRILOZI</w:t>
      </w:r>
      <w:bookmarkEnd w:id="135"/>
    </w:p>
    <w:p w:rsidR="00702E3C" w:rsidRDefault="004B1C83">
      <w:pPr>
        <w:pStyle w:val="Naslov2"/>
        <w:numPr>
          <w:ilvl w:val="1"/>
          <w:numId w:val="23"/>
        </w:numPr>
        <w:rPr>
          <w:rFonts w:ascii="Times New Roman" w:hAnsi="Times New Roman" w:cs="Times New Roman"/>
        </w:rPr>
      </w:pPr>
      <w:bookmarkStart w:id="136" w:name="_Toc217040762"/>
      <w:r>
        <w:rPr>
          <w:rFonts w:ascii="Times New Roman" w:hAnsi="Times New Roman" w:cs="Times New Roman"/>
        </w:rPr>
        <w:t>Prihvatni kapacitet destinacije (u izradi)</w:t>
      </w:r>
      <w:bookmarkEnd w:id="136"/>
    </w:p>
    <w:p w:rsidR="00702E3C" w:rsidRDefault="004B1C83">
      <w:pPr>
        <w:pStyle w:val="Naslov1"/>
        <w:numPr>
          <w:ilvl w:val="0"/>
          <w:numId w:val="23"/>
        </w:numPr>
        <w:rPr>
          <w:rFonts w:ascii="Times New Roman" w:hAnsi="Times New Roman" w:cs="Times New Roman"/>
          <w:b/>
          <w:bCs/>
        </w:rPr>
      </w:pPr>
      <w:bookmarkStart w:id="137" w:name="_Toc217040763"/>
      <w:r>
        <w:rPr>
          <w:rFonts w:ascii="Times New Roman" w:hAnsi="Times New Roman" w:cs="Times New Roman"/>
          <w:b/>
          <w:bCs/>
        </w:rPr>
        <w:t>IZVORI</w:t>
      </w:r>
      <w:bookmarkEnd w:id="137"/>
    </w:p>
    <w:p w:rsidR="00702E3C" w:rsidRDefault="00702E3C"/>
    <w:p w:rsidR="00702E3C" w:rsidRDefault="004B1C83">
      <w:pPr>
        <w:spacing w:line="360" w:lineRule="auto"/>
        <w:jc w:val="both"/>
        <w:rPr>
          <w:rFonts w:ascii="Times New Roman" w:eastAsia="Aptos" w:hAnsi="Times New Roman" w:cs="Times New Roman"/>
          <w:color w:val="00B0F0"/>
          <w:kern w:val="0"/>
          <w:sz w:val="24"/>
          <w:szCs w:val="24"/>
          <w:u w:val="single"/>
          <w14:ligatures w14:val="none"/>
        </w:rPr>
      </w:pPr>
      <w:r>
        <w:rPr>
          <w:rFonts w:ascii="Times New Roman" w:eastAsia="Aptos" w:hAnsi="Times New Roman" w:cs="Times New Roman"/>
          <w:color w:val="00B0F0"/>
          <w:kern w:val="0"/>
          <w:sz w:val="24"/>
          <w:szCs w:val="24"/>
          <w:u w:val="single"/>
          <w14:ligatures w14:val="none"/>
        </w:rPr>
        <w:t xml:space="preserve">Internet / Izvori: </w:t>
      </w:r>
    </w:p>
    <w:p w:rsidR="00702E3C" w:rsidRDefault="004B1C83">
      <w:pPr>
        <w:spacing w:line="360" w:lineRule="auto"/>
        <w:jc w:val="both"/>
        <w:rPr>
          <w:rFonts w:ascii="Times New Roman" w:eastAsia="Aptos" w:hAnsi="Times New Roman" w:cs="Times New Roman"/>
          <w:color w:val="00B0F0"/>
          <w:kern w:val="0"/>
          <w:sz w:val="24"/>
          <w:szCs w:val="24"/>
          <w14:ligatures w14:val="none"/>
        </w:rPr>
      </w:pPr>
      <w:hyperlink r:id="rId27" w:history="1">
        <w:r>
          <w:rPr>
            <w:rFonts w:ascii="Times New Roman" w:eastAsia="Aptos" w:hAnsi="Times New Roman" w:cs="Times New Roman"/>
            <w:color w:val="00B0F0"/>
            <w:kern w:val="0"/>
            <w:sz w:val="24"/>
            <w:szCs w:val="24"/>
            <w:u w:val="single"/>
            <w14:ligatures w14:val="none"/>
          </w:rPr>
          <w:t>https://geoportal.dgu.hr/</w:t>
        </w:r>
      </w:hyperlink>
      <w:r>
        <w:rPr>
          <w:rFonts w:ascii="Times New Roman" w:eastAsia="Aptos" w:hAnsi="Times New Roman" w:cs="Times New Roman"/>
          <w:color w:val="00B0F0"/>
          <w:kern w:val="0"/>
          <w:sz w:val="24"/>
          <w:szCs w:val="24"/>
          <w14:ligatures w14:val="none"/>
        </w:rPr>
        <w:t xml:space="preserve"> </w:t>
      </w:r>
    </w:p>
    <w:p w:rsidR="00702E3C" w:rsidRDefault="004B1C83">
      <w:pPr>
        <w:spacing w:line="360" w:lineRule="auto"/>
        <w:jc w:val="both"/>
        <w:rPr>
          <w:rFonts w:ascii="Times New Roman" w:eastAsia="Aptos" w:hAnsi="Times New Roman" w:cs="Times New Roman"/>
          <w:color w:val="00B0F0"/>
          <w:kern w:val="0"/>
          <w:sz w:val="24"/>
          <w:szCs w:val="24"/>
          <w14:ligatures w14:val="none"/>
        </w:rPr>
      </w:pPr>
      <w:hyperlink r:id="rId28" w:history="1">
        <w:r>
          <w:rPr>
            <w:rFonts w:ascii="Times New Roman" w:eastAsia="Aptos" w:hAnsi="Times New Roman" w:cs="Times New Roman"/>
            <w:color w:val="00B0F0"/>
            <w:kern w:val="0"/>
            <w:sz w:val="24"/>
            <w:szCs w:val="24"/>
            <w:u w:val="single"/>
            <w14:ligatures w14:val="none"/>
          </w:rPr>
          <w:t>https://oss.uredjenazemlja.hr/map</w:t>
        </w:r>
      </w:hyperlink>
      <w:r>
        <w:rPr>
          <w:rFonts w:ascii="Times New Roman" w:eastAsia="Aptos" w:hAnsi="Times New Roman" w:cs="Times New Roman"/>
          <w:color w:val="00B0F0"/>
          <w:kern w:val="0"/>
          <w:sz w:val="24"/>
          <w:szCs w:val="24"/>
          <w14:ligatures w14:val="none"/>
        </w:rPr>
        <w:t xml:space="preserve"> </w:t>
      </w:r>
    </w:p>
    <w:p w:rsidR="00702E3C" w:rsidRDefault="004B1C83">
      <w:pPr>
        <w:spacing w:line="360" w:lineRule="auto"/>
        <w:jc w:val="both"/>
        <w:rPr>
          <w:rFonts w:ascii="Times New Roman" w:eastAsia="Aptos" w:hAnsi="Times New Roman" w:cs="Times New Roman"/>
          <w:color w:val="00B0F0"/>
          <w:kern w:val="0"/>
          <w:sz w:val="24"/>
          <w:szCs w:val="24"/>
          <w14:ligatures w14:val="none"/>
        </w:rPr>
      </w:pPr>
      <w:hyperlink r:id="rId29" w:anchor="/" w:history="1">
        <w:r>
          <w:rPr>
            <w:rFonts w:ascii="Times New Roman" w:eastAsia="Aptos" w:hAnsi="Times New Roman" w:cs="Times New Roman"/>
            <w:color w:val="00B0F0"/>
            <w:kern w:val="0"/>
            <w:sz w:val="24"/>
            <w:szCs w:val="24"/>
            <w:u w:val="single"/>
            <w14:ligatures w14:val="none"/>
          </w:rPr>
          <w:t>https://registar.kulturnadobra.hr/#/</w:t>
        </w:r>
      </w:hyperlink>
    </w:p>
    <w:p w:rsidR="00702E3C" w:rsidRDefault="004B1C83">
      <w:pPr>
        <w:spacing w:line="360" w:lineRule="auto"/>
        <w:jc w:val="both"/>
        <w:rPr>
          <w:rFonts w:ascii="Times New Roman" w:eastAsia="Aptos" w:hAnsi="Times New Roman" w:cs="Times New Roman"/>
          <w:color w:val="00B0F0"/>
          <w:kern w:val="0"/>
          <w:sz w:val="24"/>
          <w:szCs w:val="24"/>
          <w14:ligatures w14:val="none"/>
        </w:rPr>
      </w:pPr>
      <w:hyperlink r:id="rId30" w:history="1">
        <w:r>
          <w:rPr>
            <w:rFonts w:ascii="Times New Roman" w:eastAsia="Aptos" w:hAnsi="Times New Roman" w:cs="Times New Roman"/>
            <w:color w:val="00B0F0"/>
            <w:kern w:val="0"/>
            <w:sz w:val="24"/>
            <w:szCs w:val="24"/>
            <w:u w:val="single"/>
            <w14:ligatures w14:val="none"/>
          </w:rPr>
          <w:t>https://earth.google.com/web</w:t>
        </w:r>
      </w:hyperlink>
      <w:r>
        <w:rPr>
          <w:rFonts w:ascii="Times New Roman" w:eastAsia="Aptos" w:hAnsi="Times New Roman" w:cs="Times New Roman"/>
          <w:color w:val="00B0F0"/>
          <w:kern w:val="0"/>
          <w:sz w:val="24"/>
          <w:szCs w:val="24"/>
          <w14:ligatures w14:val="none"/>
        </w:rPr>
        <w:t xml:space="preserve"> </w:t>
      </w:r>
    </w:p>
    <w:p w:rsidR="00702E3C" w:rsidRDefault="004B1C83">
      <w:pPr>
        <w:spacing w:line="360" w:lineRule="auto"/>
        <w:jc w:val="both"/>
        <w:rPr>
          <w:rFonts w:ascii="Times New Roman" w:eastAsia="Aptos" w:hAnsi="Times New Roman" w:cs="Times New Roman"/>
          <w:color w:val="00B0F0"/>
          <w:kern w:val="0"/>
          <w:sz w:val="24"/>
          <w:szCs w:val="24"/>
          <w14:ligatures w14:val="none"/>
        </w:rPr>
      </w:pPr>
      <w:hyperlink r:id="rId31" w:history="1">
        <w:r>
          <w:rPr>
            <w:rFonts w:ascii="Times New Roman" w:eastAsia="Aptos" w:hAnsi="Times New Roman" w:cs="Times New Roman"/>
            <w:color w:val="00B0F0"/>
            <w:kern w:val="0"/>
            <w:sz w:val="24"/>
            <w:szCs w:val="24"/>
            <w:u w:val="single"/>
            <w14:ligatures w14:val="none"/>
          </w:rPr>
          <w:t>https://www.google.com/maps/</w:t>
        </w:r>
      </w:hyperlink>
      <w:r>
        <w:rPr>
          <w:rFonts w:ascii="Times New Roman" w:eastAsia="Aptos" w:hAnsi="Times New Roman" w:cs="Times New Roman"/>
          <w:color w:val="00B0F0"/>
          <w:kern w:val="0"/>
          <w:sz w:val="24"/>
          <w:szCs w:val="24"/>
          <w14:ligatures w14:val="none"/>
        </w:rPr>
        <w:t xml:space="preserve"> </w:t>
      </w:r>
    </w:p>
    <w:p w:rsidR="00702E3C" w:rsidRDefault="004B1C83">
      <w:pPr>
        <w:rPr>
          <w:rFonts w:ascii="Times New Roman" w:hAnsi="Times New Roman" w:cs="Times New Roman"/>
          <w:color w:val="00B0F0"/>
        </w:rPr>
      </w:pPr>
      <w:hyperlink r:id="rId32" w:history="1">
        <w:r>
          <w:rPr>
            <w:rStyle w:val="Hiperveza"/>
            <w:rFonts w:ascii="Times New Roman" w:hAnsi="Times New Roman" w:cs="Times New Roman"/>
            <w:color w:val="00B0F0"/>
          </w:rPr>
          <w:t>https://pp-telascica.hr/</w:t>
        </w:r>
      </w:hyperlink>
      <w:r>
        <w:rPr>
          <w:rFonts w:ascii="Times New Roman" w:hAnsi="Times New Roman" w:cs="Times New Roman"/>
          <w:color w:val="00B0F0"/>
        </w:rPr>
        <w:t xml:space="preserve"> </w:t>
      </w:r>
    </w:p>
    <w:p w:rsidR="00702E3C" w:rsidRDefault="004B1C83">
      <w:pPr>
        <w:rPr>
          <w:rFonts w:ascii="Times New Roman" w:hAnsi="Times New Roman" w:cs="Times New Roman"/>
          <w:color w:val="00B0F0"/>
        </w:rPr>
      </w:pPr>
      <w:hyperlink r:id="rId33" w:history="1">
        <w:r>
          <w:rPr>
            <w:rStyle w:val="Hiperveza"/>
            <w:rFonts w:ascii="Times New Roman" w:hAnsi="Times New Roman" w:cs="Times New Roman"/>
            <w:color w:val="00B0F0"/>
          </w:rPr>
          <w:t>https://www.natura-jadera.hr/</w:t>
        </w:r>
      </w:hyperlink>
      <w:r>
        <w:rPr>
          <w:rFonts w:ascii="Times New Roman" w:hAnsi="Times New Roman" w:cs="Times New Roman"/>
          <w:color w:val="00B0F0"/>
        </w:rPr>
        <w:t xml:space="preserve"> </w:t>
      </w:r>
    </w:p>
    <w:p w:rsidR="00702E3C" w:rsidRDefault="004B1C83">
      <w:pPr>
        <w:rPr>
          <w:rFonts w:ascii="Times New Roman" w:hAnsi="Times New Roman" w:cs="Times New Roman"/>
          <w:color w:val="00B0F0"/>
        </w:rPr>
      </w:pPr>
      <w:hyperlink r:id="rId34" w:history="1">
        <w:r>
          <w:rPr>
            <w:rStyle w:val="Hiperveza"/>
            <w:rFonts w:ascii="Times New Roman" w:hAnsi="Times New Roman" w:cs="Times New Roman"/>
            <w:color w:val="00B0F0"/>
          </w:rPr>
          <w:t>https://podaci.dzs.hr/hr/</w:t>
        </w:r>
      </w:hyperlink>
      <w:r>
        <w:rPr>
          <w:rFonts w:ascii="Times New Roman" w:hAnsi="Times New Roman" w:cs="Times New Roman"/>
          <w:color w:val="00B0F0"/>
        </w:rPr>
        <w:t xml:space="preserve"> </w:t>
      </w:r>
    </w:p>
    <w:p w:rsidR="00702E3C" w:rsidRDefault="00702E3C">
      <w:pPr>
        <w:rPr>
          <w:rFonts w:ascii="Times New Roman" w:hAnsi="Times New Roman" w:cs="Times New Roman"/>
          <w:color w:val="00B0F0"/>
        </w:rPr>
      </w:pPr>
    </w:p>
    <w:p w:rsidR="00702E3C" w:rsidRDefault="00702E3C">
      <w:pPr>
        <w:rPr>
          <w:rFonts w:ascii="Times New Roman" w:hAnsi="Times New Roman" w:cs="Times New Roman"/>
          <w:color w:val="00B0F0"/>
        </w:rPr>
      </w:pPr>
    </w:p>
    <w:p w:rsidR="00702E3C" w:rsidRDefault="00702E3C">
      <w:pPr>
        <w:rPr>
          <w:rFonts w:ascii="Times New Roman" w:hAnsi="Times New Roman" w:cs="Times New Roman"/>
          <w:color w:val="00B0F0"/>
        </w:rPr>
      </w:pPr>
    </w:p>
    <w:p w:rsidR="00702E3C" w:rsidRDefault="00702E3C">
      <w:pPr>
        <w:rPr>
          <w:rFonts w:ascii="Times New Roman" w:hAnsi="Times New Roman" w:cs="Times New Roman"/>
          <w:color w:val="00B0F0"/>
        </w:rPr>
      </w:pPr>
    </w:p>
    <w:p w:rsidR="00702E3C" w:rsidRDefault="004B1C83">
      <w:pPr>
        <w:pStyle w:val="Naslov1"/>
        <w:numPr>
          <w:ilvl w:val="0"/>
          <w:numId w:val="23"/>
        </w:numPr>
        <w:rPr>
          <w:rFonts w:ascii="Times New Roman" w:hAnsi="Times New Roman" w:cs="Times New Roman"/>
          <w:b/>
          <w:bCs/>
        </w:rPr>
      </w:pPr>
      <w:bookmarkStart w:id="138" w:name="_Toc217040764"/>
      <w:r>
        <w:rPr>
          <w:rFonts w:ascii="Times New Roman" w:hAnsi="Times New Roman" w:cs="Times New Roman"/>
          <w:b/>
          <w:bCs/>
        </w:rPr>
        <w:t>LITERATURA</w:t>
      </w:r>
      <w:bookmarkEnd w:id="138"/>
    </w:p>
    <w:p w:rsidR="00702E3C" w:rsidRDefault="00702E3C"/>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BARAKA,P.J., PETEŠIĆ, J. (2018): Il sito Gruh-Sv. Ivan dentro il parco naturale di Telašćica, 17th International Congress of Christian Archaeology (Utrecht/ Nijmegen, 2018.</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 xml:space="preserve">BATOVIĆ, Š. (1997): </w:t>
      </w:r>
      <w:r>
        <w:rPr>
          <w:rFonts w:ascii="Times New Roman" w:eastAsia="Aptos" w:hAnsi="Times New Roman" w:cs="Times New Roman"/>
          <w:i/>
          <w:iCs/>
          <w:kern w:val="0"/>
          <w:sz w:val="20"/>
          <w:szCs w:val="20"/>
          <w14:ligatures w14:val="none"/>
        </w:rPr>
        <w:t>O prapovijesti Dugoga otoka</w:t>
      </w:r>
      <w:r>
        <w:rPr>
          <w:rFonts w:ascii="Times New Roman" w:eastAsia="Aptos" w:hAnsi="Times New Roman" w:cs="Times New Roman"/>
          <w:kern w:val="0"/>
          <w:sz w:val="20"/>
          <w:szCs w:val="20"/>
          <w14:ligatures w14:val="none"/>
        </w:rPr>
        <w:t xml:space="preserve"> // Dugi otok : zbornik / Batović, Šime; Obad, Stijepo; Petricioli, Ivo (ur.). Matica Hrvatska Zadar, Zadar, 99. – 165. </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 xml:space="preserve">FARIČIĆ, J. (2012): Geografija sjevernodalmatinskih otoka, Školska knjiga i Sveučilište u Zadru, Zagreb. </w:t>
      </w:r>
    </w:p>
    <w:p w:rsidR="00702E3C" w:rsidRDefault="004B1C83">
      <w:pPr>
        <w:jc w:val="both"/>
        <w:rPr>
          <w:rFonts w:ascii="Times New Roman" w:hAnsi="Times New Roman" w:cs="Times New Roman"/>
          <w:sz w:val="20"/>
          <w:szCs w:val="20"/>
        </w:rPr>
      </w:pPr>
      <w:r>
        <w:rPr>
          <w:rFonts w:ascii="Times New Roman" w:hAnsi="Times New Roman" w:cs="Times New Roman"/>
          <w:sz w:val="20"/>
          <w:szCs w:val="20"/>
        </w:rPr>
        <w:t>MAGAŠ, D. (1997): Zemljopisno-povijesna obilježja Dugog otoka, Dugi otok – Zbornik radova, ured.Š.Batović, Matica Hrvatska Zadar, 11 – 44.</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 xml:space="preserve">MALEZ, M. (1967):  Paleolitska nalazišta Hrvatske,  </w:t>
      </w:r>
      <w:r>
        <w:rPr>
          <w:rFonts w:ascii="Times New Roman" w:eastAsia="Aptos" w:hAnsi="Times New Roman" w:cs="Times New Roman"/>
          <w:i/>
          <w:iCs/>
          <w:kern w:val="0"/>
          <w:sz w:val="20"/>
          <w:szCs w:val="20"/>
          <w14:ligatures w14:val="none"/>
        </w:rPr>
        <w:t>Arheološki vestnik</w:t>
      </w:r>
      <w:r>
        <w:rPr>
          <w:rFonts w:ascii="Times New Roman" w:eastAsia="Aptos" w:hAnsi="Times New Roman" w:cs="Times New Roman"/>
          <w:kern w:val="0"/>
          <w:sz w:val="20"/>
          <w:szCs w:val="20"/>
          <w14:ligatures w14:val="none"/>
        </w:rPr>
        <w:t xml:space="preserve"> XVIII Ljubljana. </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lastRenderedPageBreak/>
        <w:t>PETEŠIĆ, J. (2016): Stivanje field in Nature Park Telašćica – TRADE, International conference Transformations of Adriatic Europe 2nd - 9th century, Zadar</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 xml:space="preserve">PETRICIOLI, I. (1993):  Srednjovjekovni umjetnički spomenici na Dugom otoku, Zbornik Dugi otok, </w:t>
      </w:r>
      <w:r>
        <w:rPr>
          <w:rFonts w:ascii="Times New Roman" w:eastAsia="Aptos" w:hAnsi="Times New Roman" w:cs="Times New Roman"/>
          <w:i/>
          <w:iCs/>
          <w:kern w:val="0"/>
          <w:sz w:val="20"/>
          <w:szCs w:val="20"/>
          <w14:ligatures w14:val="none"/>
        </w:rPr>
        <w:t>Zadarska smotra 1-2</w:t>
      </w:r>
      <w:r>
        <w:rPr>
          <w:rFonts w:ascii="Times New Roman" w:eastAsia="Aptos" w:hAnsi="Times New Roman" w:cs="Times New Roman"/>
          <w:kern w:val="0"/>
          <w:sz w:val="20"/>
          <w:szCs w:val="20"/>
          <w14:ligatures w14:val="none"/>
        </w:rPr>
        <w:t>, Zadar.</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SUIĆ, M. (2003): Antički grad na istočnom Jadranu. Zagreb: Golden marketing.</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UGLEŠIĆ, A. (2002):  Ranokršćanska arhitektura na području današnje Zadarske nadbiskupije. Zadar, Filozofski fakultet u Zadru, Zadarska nadbiskupija.(monografija)</w:t>
      </w:r>
    </w:p>
    <w:p w:rsidR="00702E3C" w:rsidRDefault="004B1C83">
      <w:pPr>
        <w:spacing w:line="360" w:lineRule="auto"/>
        <w:jc w:val="both"/>
        <w:rPr>
          <w:rFonts w:ascii="Times New Roman" w:eastAsia="Aptos" w:hAnsi="Times New Roman" w:cs="Times New Roman"/>
          <w:kern w:val="0"/>
          <w:sz w:val="20"/>
          <w:szCs w:val="20"/>
          <w14:ligatures w14:val="none"/>
        </w:rPr>
      </w:pPr>
      <w:r>
        <w:rPr>
          <w:rFonts w:ascii="Times New Roman" w:eastAsia="Aptos" w:hAnsi="Times New Roman" w:cs="Times New Roman"/>
          <w:kern w:val="0"/>
          <w:sz w:val="20"/>
          <w:szCs w:val="20"/>
          <w14:ligatures w14:val="none"/>
        </w:rPr>
        <w:t xml:space="preserve">VUJEVIĆ,D., (2013): Prapovijesni ostatci na sjeverozapadnom dijelu Dugog otoka. u: A. Uglešić, J. Faričić ur. Veli rat. Sveučilište u Zadru, Zadar 2013, 131 – 146. </w:t>
      </w:r>
    </w:p>
    <w:p w:rsidR="00702E3C" w:rsidRDefault="00702E3C"/>
    <w:p w:rsidR="00702E3C" w:rsidRDefault="00702E3C">
      <w:pPr>
        <w:spacing w:line="360" w:lineRule="auto"/>
        <w:jc w:val="both"/>
        <w:rPr>
          <w:rFonts w:ascii="Times New Roman" w:hAnsi="Times New Roman" w:cs="Times New Roman"/>
          <w:sz w:val="24"/>
          <w:szCs w:val="24"/>
        </w:rPr>
      </w:pPr>
    </w:p>
    <w:sectPr w:rsidR="00702E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02E3C" w:rsidRDefault="004B1C83">
      <w:pPr>
        <w:spacing w:line="240" w:lineRule="auto"/>
      </w:pPr>
      <w:r>
        <w:separator/>
      </w:r>
    </w:p>
  </w:endnote>
  <w:endnote w:type="continuationSeparator" w:id="0">
    <w:p w:rsidR="00702E3C" w:rsidRDefault="004B1C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方正姚体">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华文新魏">
    <w:altName w:val="Segoe Print"/>
    <w:charset w:val="00"/>
    <w:family w:val="auto"/>
    <w:pitch w:val="default"/>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pto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224554"/>
    </w:sdtPr>
    <w:sdtEndPr/>
    <w:sdtContent>
      <w:p w:rsidR="00702E3C" w:rsidRDefault="004B1C83">
        <w:pPr>
          <w:pStyle w:val="Podnoje"/>
        </w:pP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445756332"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rsidR="00702E3C" w:rsidRDefault="004B1C83">
                              <w:pPr>
                                <w:pBdr>
                                  <w:top w:val="single" w:sz="4" w:space="1" w:color="7F7F7F" w:themeColor="background1" w:themeShade="7F"/>
                                </w:pBdr>
                                <w:jc w:val="center"/>
                                <w:rPr>
                                  <w:color w:val="54A021" w:themeColor="accent2"/>
                                </w:rPr>
                              </w:pPr>
                              <w:r>
                                <w:fldChar w:fldCharType="begin"/>
                              </w:r>
                              <w:r>
                                <w:instrText>PAGE   \* MERGEFORMAT</w:instrText>
                              </w:r>
                              <w:r>
                                <w:fldChar w:fldCharType="separate"/>
                              </w:r>
                              <w:r>
                                <w:rPr>
                                  <w:color w:val="54A021" w:themeColor="accent2"/>
                                </w:rPr>
                                <w:t>2</w:t>
                              </w:r>
                              <w:r>
                                <w:rPr>
                                  <w:color w:val="54A021" w:themeColor="accent2"/>
                                </w:rPr>
                                <w:fldChar w:fldCharType="end"/>
                              </w:r>
                            </w:p>
                          </w:txbxContent>
                        </wps:txbx>
                        <wps:bodyPr rot="0" vert="horz" wrap="square" lIns="91440" tIns="0" rIns="91440" bIns="0" anchor="t" anchorCtr="0" upright="1">
                          <a:noAutofit/>
                        </wps:bodyPr>
                      </wps:wsp>
                    </a:graphicData>
                  </a:graphic>
                </wp:anchor>
              </w:drawing>
            </mc:Choice>
            <mc:Fallback>
              <w:pict>
                <v:rect id="Pravokutnik 1" o:spid="_x0000_s1026" style="position:absolute;margin-left:0;margin-top:0;width:44.55pt;height:15.1pt;rotation:180;flip:x;z-index:251660288;visibility:visible;mso-wrap-style:square;mso-wrap-distance-left:9pt;mso-wrap-distance-top:0;mso-wrap-distance-right:9pt;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rsidR="00702E3C" w:rsidRDefault="004B1C83">
                        <w:pPr>
                          <w:pBdr>
                            <w:top w:val="single" w:sz="4" w:space="1" w:color="7F7F7F" w:themeColor="background1" w:themeShade="7F"/>
                          </w:pBdr>
                          <w:jc w:val="center"/>
                          <w:rPr>
                            <w:color w:val="54A021" w:themeColor="accent2"/>
                          </w:rPr>
                        </w:pPr>
                        <w:r>
                          <w:fldChar w:fldCharType="begin"/>
                        </w:r>
                        <w:r>
                          <w:instrText>PAGE   \* MERGEFORMAT</w:instrText>
                        </w:r>
                        <w:r>
                          <w:fldChar w:fldCharType="separate"/>
                        </w:r>
                        <w:r>
                          <w:rPr>
                            <w:color w:val="54A021" w:themeColor="accent2"/>
                          </w:rPr>
                          <w:t>2</w:t>
                        </w:r>
                        <w:r>
                          <w:rPr>
                            <w:color w:val="54A02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02E3C" w:rsidRDefault="004B1C83">
      <w:pPr>
        <w:spacing w:after="0"/>
      </w:pPr>
      <w:r>
        <w:separator/>
      </w:r>
    </w:p>
  </w:footnote>
  <w:footnote w:type="continuationSeparator" w:id="0">
    <w:p w:rsidR="00702E3C" w:rsidRDefault="004B1C83">
      <w:pPr>
        <w:spacing w:after="0"/>
      </w:pPr>
      <w:r>
        <w:continuationSeparator/>
      </w:r>
    </w:p>
  </w:footnote>
  <w:footnote w:id="1">
    <w:p w:rsidR="00702E3C" w:rsidRDefault="004B1C83">
      <w:pPr>
        <w:pStyle w:val="Tekstfusnote"/>
        <w:rPr>
          <w:rFonts w:ascii="Times New Roman" w:hAnsi="Times New Roman"/>
        </w:rPr>
      </w:pPr>
      <w:r>
        <w:rPr>
          <w:rStyle w:val="Referencafusnote"/>
          <w:rFonts w:ascii="Times New Roman" w:hAnsi="Times New Roman"/>
        </w:rPr>
        <w:footnoteRef/>
      </w:r>
      <w:r>
        <w:rPr>
          <w:rFonts w:ascii="Times New Roman" w:hAnsi="Times New Roman"/>
        </w:rPr>
        <w:t xml:space="preserve"> </w:t>
      </w:r>
      <w:hyperlink r:id="rId1" w:history="1">
        <w:r>
          <w:rPr>
            <w:rStyle w:val="Hiperveza"/>
            <w:rFonts w:ascii="Times New Roman" w:hAnsi="Times New Roman"/>
          </w:rPr>
          <w:t>https://podaci.dzs.hr/hr/podaci/stanovnistvo/</w:t>
        </w:r>
      </w:hyperlink>
      <w:r>
        <w:rPr>
          <w:rFonts w:ascii="Times New Roman" w:hAnsi="Times New Roman"/>
        </w:rPr>
        <w:t xml:space="preserve"> </w:t>
      </w:r>
    </w:p>
  </w:footnote>
  <w:footnote w:id="2">
    <w:p w:rsidR="00702E3C" w:rsidRDefault="004B1C83">
      <w:pPr>
        <w:pStyle w:val="Tekstfusnote"/>
      </w:pPr>
      <w:r>
        <w:rPr>
          <w:rStyle w:val="Referencafusnote"/>
          <w:rFonts w:ascii="Times New Roman" w:hAnsi="Times New Roman"/>
        </w:rPr>
        <w:footnoteRef/>
      </w:r>
      <w:r>
        <w:rPr>
          <w:rFonts w:ascii="Times New Roman" w:hAnsi="Times New Roman"/>
        </w:rPr>
        <w:t xml:space="preserve"> </w:t>
      </w:r>
      <w:hyperlink r:id="rId2" w:history="1">
        <w:r>
          <w:rPr>
            <w:rStyle w:val="Hiperveza"/>
            <w:rFonts w:ascii="Times New Roman" w:hAnsi="Times New Roman"/>
          </w:rPr>
          <w:t>https://podaci.dzs.hr/hr/podaci/turizam/</w:t>
        </w:r>
      </w:hyperlink>
      <w:r>
        <w:t xml:space="preserve"> </w:t>
      </w:r>
    </w:p>
  </w:footnote>
  <w:footnote w:id="3">
    <w:p w:rsidR="00702E3C" w:rsidRDefault="004B1C83">
      <w:pPr>
        <w:pStyle w:val="Tekstfusnote"/>
        <w:rPr>
          <w:rFonts w:ascii="Times New Roman" w:hAnsi="Times New Roman"/>
        </w:rPr>
      </w:pPr>
      <w:r>
        <w:rPr>
          <w:rStyle w:val="Referencafusnote"/>
          <w:rFonts w:ascii="Times New Roman" w:hAnsi="Times New Roman"/>
        </w:rPr>
        <w:footnoteRef/>
      </w:r>
      <w:r>
        <w:rPr>
          <w:rFonts w:ascii="Times New Roman" w:hAnsi="Times New Roman"/>
        </w:rPr>
        <w:t xml:space="preserve"> </w:t>
      </w:r>
      <w:hyperlink r:id="rId3" w:history="1">
        <w:r>
          <w:rPr>
            <w:rStyle w:val="Hiperveza"/>
            <w:rFonts w:ascii="Times New Roman" w:hAnsi="Times New Roman"/>
          </w:rPr>
          <w:t>https://geoportal.hrvatske-ceste.hr/gis?c=585099%2C4917628&amp;so=&amp;z=3.5</w:t>
        </w:r>
      </w:hyperlink>
      <w:r>
        <w:rPr>
          <w:rFonts w:ascii="Times New Roman" w:hAnsi="Times New Roman"/>
        </w:rPr>
        <w:t xml:space="preserve"> </w:t>
      </w:r>
    </w:p>
  </w:footnote>
  <w:footnote w:id="4">
    <w:p w:rsidR="00702E3C" w:rsidRDefault="004B1C83">
      <w:pPr>
        <w:pStyle w:val="Tekstfusnote"/>
        <w:rPr>
          <w:rFonts w:ascii="Times New Roman" w:hAnsi="Times New Roman"/>
        </w:rPr>
      </w:pPr>
      <w:r>
        <w:rPr>
          <w:rStyle w:val="Referencafusnote"/>
          <w:rFonts w:ascii="Times New Roman" w:hAnsi="Times New Roman"/>
        </w:rPr>
        <w:footnoteRef/>
      </w:r>
      <w:r>
        <w:rPr>
          <w:rFonts w:ascii="Times New Roman" w:hAnsi="Times New Roman"/>
        </w:rPr>
        <w:t xml:space="preserve"> </w:t>
      </w:r>
      <w:hyperlink r:id="rId4" w:history="1">
        <w:r>
          <w:rPr>
            <w:rStyle w:val="Hiperveza"/>
            <w:rFonts w:ascii="Times New Roman" w:hAnsi="Times New Roman"/>
          </w:rPr>
          <w:t>https://maps.google.com</w:t>
        </w:r>
      </w:hyperlink>
      <w:r>
        <w:rPr>
          <w:rFonts w:ascii="Times New Roman" w:hAnsi="Times New Roman"/>
        </w:rPr>
        <w:t xml:space="preserve"> </w:t>
      </w:r>
    </w:p>
  </w:footnote>
  <w:footnote w:id="5">
    <w:p w:rsidR="00702E3C" w:rsidRDefault="004B1C83">
      <w:pPr>
        <w:pStyle w:val="Tekstfusnote"/>
        <w:rPr>
          <w:rFonts w:ascii="Times New Roman" w:hAnsi="Times New Roman"/>
        </w:rPr>
      </w:pPr>
      <w:r>
        <w:rPr>
          <w:rStyle w:val="Referencafusnote"/>
          <w:rFonts w:ascii="Times New Roman" w:hAnsi="Times New Roman"/>
        </w:rPr>
        <w:footnoteRef/>
      </w:r>
      <w:r>
        <w:rPr>
          <w:rFonts w:ascii="Times New Roman" w:hAnsi="Times New Roman"/>
        </w:rPr>
        <w:t xml:space="preserve"> Odluka o razvrstavanju javnih cesta NN 86/2024  </w:t>
      </w:r>
    </w:p>
  </w:footnote>
  <w:footnote w:id="6">
    <w:p w:rsidR="00702E3C" w:rsidRDefault="004B1C83">
      <w:pPr>
        <w:pStyle w:val="Tekstfusnote"/>
        <w:rPr>
          <w:rFonts w:ascii="Times New Roman" w:hAnsi="Times New Roman"/>
        </w:rPr>
      </w:pPr>
      <w:r>
        <w:rPr>
          <w:rStyle w:val="Referencafusnote"/>
          <w:rFonts w:ascii="Times New Roman" w:hAnsi="Times New Roman"/>
        </w:rPr>
        <w:footnoteRef/>
      </w:r>
      <w:r>
        <w:rPr>
          <w:rFonts w:ascii="Times New Roman" w:hAnsi="Times New Roman"/>
        </w:rPr>
        <w:t xml:space="preserve"> </w:t>
      </w:r>
      <w:hyperlink r:id="rId5" w:history="1">
        <w:r>
          <w:rPr>
            <w:rStyle w:val="Hiperveza"/>
            <w:rFonts w:ascii="Times New Roman" w:hAnsi="Times New Roman"/>
          </w:rPr>
          <w:t>https://geoportal.dgu.hr/</w:t>
        </w:r>
      </w:hyperlink>
      <w:r>
        <w:rPr>
          <w:rFonts w:ascii="Times New Roman" w:hAnsi="Times New Roman"/>
        </w:rPr>
        <w:t xml:space="preserve"> </w:t>
      </w:r>
    </w:p>
  </w:footnote>
  <w:footnote w:id="7">
    <w:p w:rsidR="00702E3C" w:rsidRDefault="004B1C83">
      <w:pPr>
        <w:pStyle w:val="Tekstfusnote"/>
      </w:pPr>
      <w:r>
        <w:rPr>
          <w:rStyle w:val="Referencafusnote"/>
          <w:rFonts w:ascii="Times New Roman" w:hAnsi="Times New Roman"/>
        </w:rPr>
        <w:footnoteRef/>
      </w:r>
      <w:r>
        <w:rPr>
          <w:rFonts w:ascii="Times New Roman" w:hAnsi="Times New Roman"/>
        </w:rPr>
        <w:t xml:space="preserve"> </w:t>
      </w:r>
      <w:hyperlink r:id="rId6" w:anchor="google_vignette" w:history="1">
        <w:r>
          <w:rPr>
            <w:rStyle w:val="Hiperveza"/>
            <w:rFonts w:ascii="Times New Roman" w:hAnsi="Times New Roman"/>
          </w:rPr>
          <w:t>https://weather-and-climate.com/average-monthly-Rainfall-Temperature-Sunshine-region-dugi-otok-hr,Croatia#google_vignette</w:t>
        </w:r>
      </w:hyperlink>
      <w:r>
        <w:rPr>
          <w:rFonts w:ascii="Times New Roman" w:hAnsi="Times New Roman"/>
        </w:rPr>
        <w:t xml:space="preserve"> </w:t>
      </w:r>
    </w:p>
  </w:footnote>
  <w:footnote w:id="8">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w:t>
      </w:r>
      <w:hyperlink r:id="rId7" w:history="1">
        <w:r>
          <w:rPr>
            <w:rStyle w:val="Hiperveza"/>
            <w:rFonts w:ascii="Times New Roman" w:hAnsi="Times New Roman"/>
          </w:rPr>
          <w:t>https://pp-telascica.hr/</w:t>
        </w:r>
      </w:hyperlink>
      <w:r>
        <w:rPr>
          <w:rFonts w:ascii="Times New Roman" w:hAnsi="Times New Roman"/>
        </w:rPr>
        <w:t xml:space="preserve"> </w:t>
      </w:r>
    </w:p>
  </w:footnote>
  <w:footnote w:id="9">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w:t>
      </w:r>
      <w:hyperlink r:id="rId8" w:history="1">
        <w:r>
          <w:rPr>
            <w:rStyle w:val="Hiperveza"/>
            <w:rFonts w:ascii="Times New Roman" w:hAnsi="Times New Roman"/>
          </w:rPr>
          <w:t>https://www.natura-jadera.hr/o-nama/planovi-upravljanja/</w:t>
        </w:r>
      </w:hyperlink>
      <w:r>
        <w:rPr>
          <w:rFonts w:ascii="Times New Roman" w:hAnsi="Times New Roman"/>
        </w:rPr>
        <w:t xml:space="preserve"> </w:t>
      </w:r>
    </w:p>
  </w:footnote>
  <w:footnote w:id="10">
    <w:p w:rsidR="00702E3C" w:rsidRDefault="004B1C83">
      <w:pPr>
        <w:pStyle w:val="Tekstfusnote"/>
        <w:spacing w:line="360" w:lineRule="auto"/>
      </w:pPr>
      <w:r>
        <w:rPr>
          <w:rStyle w:val="Referencafusnote"/>
          <w:rFonts w:ascii="Times New Roman" w:hAnsi="Times New Roman"/>
        </w:rPr>
        <w:footnoteRef/>
      </w:r>
      <w:r>
        <w:rPr>
          <w:rFonts w:ascii="Times New Roman" w:hAnsi="Times New Roman"/>
        </w:rPr>
        <w:t xml:space="preserve"> </w:t>
      </w:r>
      <w:hyperlink r:id="rId9" w:history="1">
        <w:r>
          <w:rPr>
            <w:rStyle w:val="Hiperveza"/>
            <w:rFonts w:ascii="Times New Roman" w:hAnsi="Times New Roman"/>
          </w:rPr>
          <w:t>https://pp-telascica.hr/interni-akti/</w:t>
        </w:r>
      </w:hyperlink>
      <w:r>
        <w:t xml:space="preserve"> </w:t>
      </w:r>
    </w:p>
  </w:footnote>
  <w:footnote w:id="11">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MAGAŠ,1997:11-14.</w:t>
      </w:r>
    </w:p>
  </w:footnote>
  <w:footnote w:id="12">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MAGAŠ, 1993.</w:t>
      </w:r>
    </w:p>
  </w:footnote>
  <w:footnote w:id="13">
    <w:p w:rsidR="00702E3C" w:rsidRDefault="004B1C83">
      <w:pPr>
        <w:pStyle w:val="Tekstfusnote"/>
        <w:spacing w:line="360" w:lineRule="auto"/>
        <w:jc w:val="both"/>
        <w:rPr>
          <w:rFonts w:ascii="Times New Roman" w:hAnsi="Times New Roman"/>
        </w:rPr>
      </w:pPr>
      <w:r>
        <w:rPr>
          <w:rStyle w:val="Referencafusnote"/>
          <w:rFonts w:ascii="Times New Roman" w:hAnsi="Times New Roman"/>
        </w:rPr>
        <w:footnoteRef/>
      </w:r>
      <w:r>
        <w:rPr>
          <w:rFonts w:ascii="Times New Roman" w:hAnsi="Times New Roman"/>
        </w:rPr>
        <w:t xml:space="preserve"> SZ dio Dugog otoka je u kategoriji zaštićenog krajobraza od 1967., ukupne površine 652 ha i obuhvaća područje Velog rata, dok je Maslinik Saljsko polje zaštićen 1969. s površinom od 202 ha. Upravljanjem ovim područjem u nadležnosti je županijske ustanove u zaštiti prirode Natura Jadera, sa sjedištem u Zadru. (https://natura-jadera.com/)</w:t>
      </w:r>
    </w:p>
  </w:footnote>
  <w:footnote w:id="14">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MALEZ, 1967.</w:t>
      </w:r>
    </w:p>
  </w:footnote>
  <w:footnote w:id="15">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VUJEVIĆ, 2011.</w:t>
      </w:r>
    </w:p>
  </w:footnote>
  <w:footnote w:id="16">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BATOVIĆ, 1973:68-94.</w:t>
      </w:r>
    </w:p>
  </w:footnote>
  <w:footnote w:id="17">
    <w:p w:rsidR="00702E3C" w:rsidRDefault="004B1C83">
      <w:pPr>
        <w:pStyle w:val="Tekstfusnote"/>
        <w:spacing w:line="360" w:lineRule="auto"/>
      </w:pPr>
      <w:r>
        <w:rPr>
          <w:rStyle w:val="Referencafusnote"/>
          <w:rFonts w:ascii="Times New Roman" w:hAnsi="Times New Roman"/>
        </w:rPr>
        <w:footnoteRef/>
      </w:r>
      <w:r>
        <w:rPr>
          <w:rFonts w:ascii="Times New Roman" w:hAnsi="Times New Roman"/>
        </w:rPr>
        <w:t xml:space="preserve"> MAGAŠ, 2001:127.</w:t>
      </w:r>
    </w:p>
  </w:footnote>
  <w:footnote w:id="18">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SUIĆ,2003.</w:t>
      </w:r>
    </w:p>
  </w:footnote>
  <w:footnote w:id="19">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UGLEŠIĆ, 2002.</w:t>
      </w:r>
    </w:p>
  </w:footnote>
  <w:footnote w:id="20">
    <w:p w:rsidR="00702E3C" w:rsidRDefault="004B1C83">
      <w:pPr>
        <w:pStyle w:val="Tekstfusnote"/>
        <w:spacing w:line="360" w:lineRule="auto"/>
        <w:rPr>
          <w:rFonts w:ascii="Times New Roman" w:hAnsi="Times New Roman"/>
        </w:rPr>
      </w:pPr>
      <w:r>
        <w:rPr>
          <w:rStyle w:val="Referencafusnote"/>
          <w:rFonts w:ascii="Times New Roman" w:hAnsi="Times New Roman"/>
        </w:rPr>
        <w:footnoteRef/>
      </w:r>
      <w:r>
        <w:rPr>
          <w:rFonts w:ascii="Times New Roman" w:hAnsi="Times New Roman"/>
        </w:rPr>
        <w:t xml:space="preserve"> PETEŠIĆ, 2016.</w:t>
      </w:r>
    </w:p>
  </w:footnote>
  <w:footnote w:id="21">
    <w:p w:rsidR="00702E3C" w:rsidRDefault="004B1C83">
      <w:pPr>
        <w:pStyle w:val="Tekstfusnote"/>
        <w:spacing w:line="360" w:lineRule="auto"/>
      </w:pPr>
      <w:r>
        <w:rPr>
          <w:rStyle w:val="Referencafusnote"/>
          <w:rFonts w:ascii="Times New Roman" w:hAnsi="Times New Roman"/>
        </w:rPr>
        <w:footnoteRef/>
      </w:r>
      <w:r>
        <w:rPr>
          <w:rFonts w:ascii="Times New Roman" w:hAnsi="Times New Roman"/>
        </w:rPr>
        <w:t xml:space="preserve"> PETRICIOLI, 1993.</w:t>
      </w:r>
    </w:p>
  </w:footnote>
  <w:footnote w:id="22">
    <w:p w:rsidR="00702E3C" w:rsidRDefault="004B1C83">
      <w:pPr>
        <w:pStyle w:val="Tekstfusnote"/>
        <w:jc w:val="both"/>
        <w:rPr>
          <w:rFonts w:ascii="Times New Roman" w:hAnsi="Times New Roman"/>
        </w:rPr>
      </w:pPr>
      <w:r>
        <w:rPr>
          <w:rStyle w:val="Referencafusnote"/>
          <w:rFonts w:ascii="Times New Roman" w:hAnsi="Times New Roman"/>
        </w:rPr>
        <w:footnoteRef/>
      </w:r>
      <w:r>
        <w:rPr>
          <w:rFonts w:ascii="Times New Roman" w:hAnsi="Times New Roman"/>
        </w:rPr>
        <w:t xml:space="preserve"> Razvoj širokopojasnog pristupa internetu na otocima: Metodologija i model projektiranja, HAKOM, 2011., </w:t>
      </w:r>
      <w:hyperlink r:id="rId10" w:history="1">
        <w:r>
          <w:rPr>
            <w:rStyle w:val="Hiperveza"/>
            <w:rFonts w:ascii="Times New Roman" w:hAnsi="Times New Roman"/>
          </w:rPr>
          <w:t>https://www.a1.hr/karta-pokrivenosti</w:t>
        </w:r>
      </w:hyperlink>
      <w:r>
        <w:rPr>
          <w:rFonts w:ascii="Times New Roman" w:hAnsi="Times New Roman"/>
        </w:rPr>
        <w:t>;</w:t>
      </w:r>
      <w:hyperlink r:id="rId11" w:history="1">
        <w:r>
          <w:rPr>
            <w:rStyle w:val="Hiperveza"/>
            <w:rFonts w:ascii="Times New Roman" w:hAnsi="Times New Roman"/>
          </w:rPr>
          <w:t>https://www.hrvatskitelekom.hr/karte-pokrivenosti</w:t>
        </w:r>
      </w:hyperlink>
      <w:r>
        <w:rPr>
          <w:rFonts w:ascii="Times New Roman" w:hAnsi="Times New Roman"/>
        </w:rPr>
        <w:t xml:space="preserve">, </w:t>
      </w:r>
      <w:hyperlink r:id="rId12" w:history="1">
        <w:r>
          <w:rPr>
            <w:rStyle w:val="Hiperveza"/>
            <w:rFonts w:ascii="Times New Roman" w:hAnsi="Times New Roman"/>
          </w:rPr>
          <w:t>https://telemach.hr/podrska/mobilna-telefonija/pokrivenost-mobilna-telefonija</w:t>
        </w:r>
      </w:hyperlink>
      <w:r>
        <w:rPr>
          <w:rFonts w:ascii="Times New Roman" w:hAnsi="Times New Roman"/>
        </w:rPr>
        <w:t xml:space="preserve"> </w:t>
      </w:r>
    </w:p>
  </w:footnote>
  <w:footnote w:id="23">
    <w:p w:rsidR="00702E3C" w:rsidRDefault="004B1C83">
      <w:pPr>
        <w:pStyle w:val="Tekstfusnote"/>
      </w:pPr>
      <w:r>
        <w:rPr>
          <w:rStyle w:val="Referencafusnote"/>
          <w:rFonts w:ascii="Times New Roman" w:hAnsi="Times New Roman"/>
        </w:rPr>
        <w:footnoteRef/>
      </w:r>
      <w:r>
        <w:rPr>
          <w:rFonts w:ascii="Times New Roman" w:hAnsi="Times New Roman"/>
        </w:rPr>
        <w:t xml:space="preserve"> Prostorni plan Općine Sali</w:t>
      </w:r>
    </w:p>
  </w:footnote>
  <w:footnote w:id="24">
    <w:p w:rsidR="00702E3C" w:rsidRDefault="004B1C83">
      <w:pPr>
        <w:pStyle w:val="Tekstfusnote"/>
        <w:rPr>
          <w:rFonts w:ascii="Times New Roman" w:hAnsi="Times New Roman"/>
        </w:rPr>
      </w:pPr>
      <w:r>
        <w:rPr>
          <w:rStyle w:val="Referencafusnote"/>
          <w:rFonts w:ascii="Times New Roman" w:hAnsi="Times New Roman"/>
        </w:rPr>
        <w:footnoteRef/>
      </w:r>
      <w:r>
        <w:rPr>
          <w:rFonts w:ascii="Times New Roman" w:hAnsi="Times New Roman"/>
        </w:rPr>
        <w:t xml:space="preserve"> </w:t>
      </w:r>
      <w:hyperlink r:id="rId13" w:history="1">
        <w:r>
          <w:rPr>
            <w:rStyle w:val="Hiperveza"/>
            <w:rFonts w:ascii="Times New Roman" w:hAnsi="Times New Roman"/>
          </w:rPr>
          <w:t>https://www.opcina-sali.hr/2023/02/27/tranzicijski-plan-prema-cistoj-energiji-dugog-otoka-zverinca-i-lavdare/</w:t>
        </w:r>
      </w:hyperlink>
      <w:r>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F8631A"/>
    <w:multiLevelType w:val="singleLevel"/>
    <w:tmpl w:val="9CF8631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A8DE6B9F"/>
    <w:multiLevelType w:val="singleLevel"/>
    <w:tmpl w:val="A8DE6B9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19650C"/>
    <w:multiLevelType w:val="multilevel"/>
    <w:tmpl w:val="001965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2241FE"/>
    <w:multiLevelType w:val="multilevel"/>
    <w:tmpl w:val="002241FE"/>
    <w:lvl w:ilvl="0">
      <w:start w:val="1"/>
      <w:numFmt w:val="lowerLetter"/>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B95D15"/>
    <w:multiLevelType w:val="singleLevel"/>
    <w:tmpl w:val="0EB95D15"/>
    <w:lvl w:ilvl="0">
      <w:start w:val="1"/>
      <w:numFmt w:val="decimal"/>
      <w:suff w:val="space"/>
      <w:lvlText w:val="%1."/>
      <w:lvlJc w:val="left"/>
    </w:lvl>
  </w:abstractNum>
  <w:abstractNum w:abstractNumId="5" w15:restartNumberingAfterBreak="0">
    <w:nsid w:val="0FEE4BAF"/>
    <w:multiLevelType w:val="multilevel"/>
    <w:tmpl w:val="0FEE4B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C01460"/>
    <w:multiLevelType w:val="multilevel"/>
    <w:tmpl w:val="11C01460"/>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5604424"/>
    <w:multiLevelType w:val="multilevel"/>
    <w:tmpl w:val="156044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F74C4C"/>
    <w:multiLevelType w:val="multilevel"/>
    <w:tmpl w:val="15F74C4C"/>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B775FE5"/>
    <w:multiLevelType w:val="multilevel"/>
    <w:tmpl w:val="1B775FE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1D5DF866"/>
    <w:multiLevelType w:val="singleLevel"/>
    <w:tmpl w:val="1D5DF866"/>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1EC23C8A"/>
    <w:multiLevelType w:val="multilevel"/>
    <w:tmpl w:val="1EC23C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D75DCA"/>
    <w:multiLevelType w:val="multilevel"/>
    <w:tmpl w:val="21D75DCA"/>
    <w:lvl w:ilvl="0">
      <w:start w:val="1"/>
      <w:numFmt w:val="lowerLetter"/>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1073B6"/>
    <w:multiLevelType w:val="multilevel"/>
    <w:tmpl w:val="2A1073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164BE1"/>
    <w:multiLevelType w:val="multilevel"/>
    <w:tmpl w:val="2A164BE1"/>
    <w:lvl w:ilvl="0">
      <w:start w:val="1"/>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30E171D4"/>
    <w:multiLevelType w:val="multilevel"/>
    <w:tmpl w:val="30E171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5F11C2"/>
    <w:multiLevelType w:val="multilevel"/>
    <w:tmpl w:val="335F11C2"/>
    <w:lvl w:ilvl="0">
      <w:start w:val="1"/>
      <w:numFmt w:val="decimal"/>
      <w:lvlText w:val="%1."/>
      <w:lvlJc w:val="left"/>
      <w:pPr>
        <w:ind w:left="720" w:hanging="360"/>
      </w:pPr>
      <w:rPr>
        <w:rFonts w:hint="default"/>
        <w:sz w:val="40"/>
        <w:szCs w:val="40"/>
      </w:rPr>
    </w:lvl>
    <w:lvl w:ilvl="1">
      <w:start w:val="1"/>
      <w:numFmt w:val="decimal"/>
      <w:isLgl/>
      <w:lvlText w:val="%1.%2."/>
      <w:lvlJc w:val="left"/>
      <w:pPr>
        <w:ind w:left="1080" w:hanging="720"/>
      </w:pPr>
      <w:rPr>
        <w:rFonts w:ascii="Times New Roman" w:hAnsi="Times New Roman" w:cs="Times New Roman" w:hint="default"/>
        <w:sz w:val="32"/>
        <w:szCs w:val="32"/>
      </w:rPr>
    </w:lvl>
    <w:lvl w:ilvl="2">
      <w:start w:val="1"/>
      <w:numFmt w:val="decimal"/>
      <w:isLgl/>
      <w:lvlText w:val="%1.%2.%3."/>
      <w:lvlJc w:val="left"/>
      <w:pPr>
        <w:ind w:left="1440" w:hanging="1080"/>
      </w:pPr>
      <w:rPr>
        <w:rFonts w:hint="default"/>
        <w:color w:val="54A021" w:themeColor="accent2"/>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79C1E7E"/>
    <w:multiLevelType w:val="multilevel"/>
    <w:tmpl w:val="379C1E7E"/>
    <w:lvl w:ilvl="0">
      <w:start w:val="1"/>
      <w:numFmt w:val="lowerLetter"/>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61487E"/>
    <w:multiLevelType w:val="multilevel"/>
    <w:tmpl w:val="3A6148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C09CCC"/>
    <w:multiLevelType w:val="singleLevel"/>
    <w:tmpl w:val="3AC09CCC"/>
    <w:lvl w:ilvl="0">
      <w:start w:val="1"/>
      <w:numFmt w:val="decimal"/>
      <w:suff w:val="space"/>
      <w:lvlText w:val="%1."/>
      <w:lvlJc w:val="left"/>
    </w:lvl>
  </w:abstractNum>
  <w:abstractNum w:abstractNumId="20" w15:restartNumberingAfterBreak="0">
    <w:nsid w:val="3C764C47"/>
    <w:multiLevelType w:val="multilevel"/>
    <w:tmpl w:val="3C764C47"/>
    <w:lvl w:ilvl="0">
      <w:start w:val="6"/>
      <w:numFmt w:val="decimal"/>
      <w:lvlText w:val="%1."/>
      <w:lvlJc w:val="left"/>
      <w:pPr>
        <w:ind w:left="360" w:hanging="360"/>
      </w:pPr>
      <w:rPr>
        <w:rFonts w:hint="default"/>
        <w:color w:val="54A021" w:themeColor="accent2"/>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color w:val="54A021" w:themeColor="accent2"/>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D1E651A"/>
    <w:multiLevelType w:val="multilevel"/>
    <w:tmpl w:val="3D1E651A"/>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651E44"/>
    <w:multiLevelType w:val="multilevel"/>
    <w:tmpl w:val="40651E4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9118B8"/>
    <w:multiLevelType w:val="multilevel"/>
    <w:tmpl w:val="419118B8"/>
    <w:lvl w:ilvl="0">
      <w:start w:val="7"/>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080" w:hanging="108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440" w:hanging="1440"/>
      </w:pPr>
      <w:rPr>
        <w:rFonts w:eastAsiaTheme="majorEastAsia" w:hint="default"/>
      </w:rPr>
    </w:lvl>
  </w:abstractNum>
  <w:abstractNum w:abstractNumId="24" w15:restartNumberingAfterBreak="0">
    <w:nsid w:val="4981214E"/>
    <w:multiLevelType w:val="multilevel"/>
    <w:tmpl w:val="498121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8825BE"/>
    <w:multiLevelType w:val="multilevel"/>
    <w:tmpl w:val="49882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D032C3E"/>
    <w:multiLevelType w:val="multilevel"/>
    <w:tmpl w:val="4D032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04D5CA5"/>
    <w:multiLevelType w:val="multilevel"/>
    <w:tmpl w:val="504D5CA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4772A3C"/>
    <w:multiLevelType w:val="multilevel"/>
    <w:tmpl w:val="54772A3C"/>
    <w:lvl w:ilvl="0">
      <w:start w:val="1"/>
      <w:numFmt w:val="bullet"/>
      <w:lvlText w:val=""/>
      <w:lvlJc w:val="left"/>
      <w:pPr>
        <w:tabs>
          <w:tab w:val="left" w:pos="720"/>
        </w:tabs>
        <w:ind w:left="720" w:hanging="360"/>
      </w:pPr>
      <w:rPr>
        <w:rFonts w:ascii="Symbol" w:hAnsi="Symbol" w:hint="default"/>
        <w:sz w:val="20"/>
      </w:rPr>
    </w:lvl>
    <w:lvl w:ilvl="1">
      <w:start w:val="7"/>
      <w:numFmt w:val="decimal"/>
      <w:lvlText w:val="%2."/>
      <w:lvlJc w:val="left"/>
      <w:pPr>
        <w:ind w:left="1440" w:hanging="360"/>
      </w:pPr>
      <w:rPr>
        <w:rFonts w:eastAsiaTheme="minorHAnsi" w:hint="default"/>
        <w:color w:val="auto"/>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548371EC"/>
    <w:multiLevelType w:val="multilevel"/>
    <w:tmpl w:val="54837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65D7DDF"/>
    <w:multiLevelType w:val="multilevel"/>
    <w:tmpl w:val="565D7DD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556D55"/>
    <w:multiLevelType w:val="multilevel"/>
    <w:tmpl w:val="5C556D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A87561"/>
    <w:multiLevelType w:val="multilevel"/>
    <w:tmpl w:val="5CA87561"/>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B54F38"/>
    <w:multiLevelType w:val="multilevel"/>
    <w:tmpl w:val="5CB54F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E911ECC"/>
    <w:multiLevelType w:val="multilevel"/>
    <w:tmpl w:val="5E911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34D429F"/>
    <w:multiLevelType w:val="multilevel"/>
    <w:tmpl w:val="634D42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B1A608A"/>
    <w:multiLevelType w:val="singleLevel"/>
    <w:tmpl w:val="6B1A608A"/>
    <w:lvl w:ilvl="0">
      <w:start w:val="1"/>
      <w:numFmt w:val="decimal"/>
      <w:suff w:val="space"/>
      <w:lvlText w:val="%1."/>
      <w:lvlJc w:val="left"/>
      <w:pPr>
        <w:ind w:left="405" w:firstLine="0"/>
      </w:pPr>
    </w:lvl>
  </w:abstractNum>
  <w:abstractNum w:abstractNumId="37" w15:restartNumberingAfterBreak="0">
    <w:nsid w:val="6D4C48FF"/>
    <w:multiLevelType w:val="multilevel"/>
    <w:tmpl w:val="6D4C48FF"/>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E3127DD"/>
    <w:multiLevelType w:val="multilevel"/>
    <w:tmpl w:val="6E3127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71CC779C"/>
    <w:multiLevelType w:val="multilevel"/>
    <w:tmpl w:val="71CC77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4A65062"/>
    <w:multiLevelType w:val="multilevel"/>
    <w:tmpl w:val="74A65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9BFB1E1"/>
    <w:multiLevelType w:val="singleLevel"/>
    <w:tmpl w:val="79BFB1E1"/>
    <w:lvl w:ilvl="0">
      <w:start w:val="1"/>
      <w:numFmt w:val="decimal"/>
      <w:suff w:val="space"/>
      <w:lvlText w:val="%1."/>
      <w:lvlJc w:val="left"/>
      <w:rPr>
        <w:rFonts w:hint="default"/>
        <w:sz w:val="18"/>
        <w:szCs w:val="18"/>
      </w:rPr>
    </w:lvl>
  </w:abstractNum>
  <w:abstractNum w:abstractNumId="42" w15:restartNumberingAfterBreak="0">
    <w:nsid w:val="7B873387"/>
    <w:multiLevelType w:val="multilevel"/>
    <w:tmpl w:val="7B873387"/>
    <w:lvl w:ilvl="0">
      <w:start w:val="1"/>
      <w:numFmt w:val="bullet"/>
      <w:lvlText w:val=""/>
      <w:lvlJc w:val="left"/>
      <w:pPr>
        <w:tabs>
          <w:tab w:val="left" w:pos="720"/>
        </w:tabs>
        <w:ind w:left="720" w:hanging="360"/>
      </w:pPr>
      <w:rPr>
        <w:rFonts w:ascii="Symbol" w:hAnsi="Symbol" w:hint="default"/>
        <w:sz w:val="20"/>
      </w:rPr>
    </w:lvl>
    <w:lvl w:ilvl="1">
      <w:start w:val="6"/>
      <w:numFmt w:val="decimal"/>
      <w:lvlText w:val="%2."/>
      <w:lvlJc w:val="left"/>
      <w:pPr>
        <w:ind w:left="1440" w:hanging="360"/>
      </w:pPr>
      <w:rPr>
        <w:rFonts w:eastAsiaTheme="minorHAnsi" w:hint="default"/>
        <w:color w:val="auto"/>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7CAE70C5"/>
    <w:multiLevelType w:val="multilevel"/>
    <w:tmpl w:val="7CAE7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89412659">
    <w:abstractNumId w:val="16"/>
  </w:num>
  <w:num w:numId="2" w16cid:durableId="1352142944">
    <w:abstractNumId w:val="42"/>
  </w:num>
  <w:num w:numId="3" w16cid:durableId="1740787004">
    <w:abstractNumId w:val="28"/>
  </w:num>
  <w:num w:numId="4" w16cid:durableId="2018144386">
    <w:abstractNumId w:val="27"/>
  </w:num>
  <w:num w:numId="5" w16cid:durableId="1960255797">
    <w:abstractNumId w:val="38"/>
  </w:num>
  <w:num w:numId="6" w16cid:durableId="138546613">
    <w:abstractNumId w:val="6"/>
  </w:num>
  <w:num w:numId="7" w16cid:durableId="2130275144">
    <w:abstractNumId w:val="5"/>
  </w:num>
  <w:num w:numId="8" w16cid:durableId="213934535">
    <w:abstractNumId w:val="17"/>
  </w:num>
  <w:num w:numId="9" w16cid:durableId="1840538358">
    <w:abstractNumId w:val="30"/>
  </w:num>
  <w:num w:numId="10" w16cid:durableId="1063524921">
    <w:abstractNumId w:val="25"/>
  </w:num>
  <w:num w:numId="11" w16cid:durableId="306201060">
    <w:abstractNumId w:val="40"/>
  </w:num>
  <w:num w:numId="12" w16cid:durableId="1084185213">
    <w:abstractNumId w:val="29"/>
  </w:num>
  <w:num w:numId="13" w16cid:durableId="164444460">
    <w:abstractNumId w:val="3"/>
  </w:num>
  <w:num w:numId="14" w16cid:durableId="1772622393">
    <w:abstractNumId w:val="7"/>
  </w:num>
  <w:num w:numId="15" w16cid:durableId="1425152230">
    <w:abstractNumId w:val="12"/>
  </w:num>
  <w:num w:numId="16" w16cid:durableId="753354595">
    <w:abstractNumId w:val="22"/>
  </w:num>
  <w:num w:numId="17" w16cid:durableId="1022587407">
    <w:abstractNumId w:val="39"/>
  </w:num>
  <w:num w:numId="18" w16cid:durableId="95292827">
    <w:abstractNumId w:val="2"/>
  </w:num>
  <w:num w:numId="19" w16cid:durableId="1562865725">
    <w:abstractNumId w:val="21"/>
  </w:num>
  <w:num w:numId="20" w16cid:durableId="67509008">
    <w:abstractNumId w:val="1"/>
  </w:num>
  <w:num w:numId="21" w16cid:durableId="1945847462">
    <w:abstractNumId w:val="20"/>
  </w:num>
  <w:num w:numId="22" w16cid:durableId="133958405">
    <w:abstractNumId w:val="8"/>
  </w:num>
  <w:num w:numId="23" w16cid:durableId="149567521">
    <w:abstractNumId w:val="23"/>
  </w:num>
  <w:num w:numId="24" w16cid:durableId="439687336">
    <w:abstractNumId w:val="4"/>
  </w:num>
  <w:num w:numId="25" w16cid:durableId="1407610299">
    <w:abstractNumId w:val="10"/>
  </w:num>
  <w:num w:numId="26" w16cid:durableId="136606143">
    <w:abstractNumId w:val="36"/>
  </w:num>
  <w:num w:numId="27" w16cid:durableId="733626704">
    <w:abstractNumId w:val="19"/>
  </w:num>
  <w:num w:numId="28" w16cid:durableId="1223641794">
    <w:abstractNumId w:val="15"/>
  </w:num>
  <w:num w:numId="29" w16cid:durableId="207882">
    <w:abstractNumId w:val="26"/>
  </w:num>
  <w:num w:numId="30" w16cid:durableId="1961062759">
    <w:abstractNumId w:val="37"/>
  </w:num>
  <w:num w:numId="31" w16cid:durableId="203101936">
    <w:abstractNumId w:val="14"/>
  </w:num>
  <w:num w:numId="32" w16cid:durableId="1252160146">
    <w:abstractNumId w:val="41"/>
  </w:num>
  <w:num w:numId="33" w16cid:durableId="643966162">
    <w:abstractNumId w:val="34"/>
  </w:num>
  <w:num w:numId="34" w16cid:durableId="1035739356">
    <w:abstractNumId w:val="43"/>
  </w:num>
  <w:num w:numId="35" w16cid:durableId="925503695">
    <w:abstractNumId w:val="32"/>
  </w:num>
  <w:num w:numId="36" w16cid:durableId="1589272102">
    <w:abstractNumId w:val="24"/>
  </w:num>
  <w:num w:numId="37" w16cid:durableId="820314619">
    <w:abstractNumId w:val="9"/>
  </w:num>
  <w:num w:numId="38" w16cid:durableId="631641166">
    <w:abstractNumId w:val="11"/>
  </w:num>
  <w:num w:numId="39" w16cid:durableId="1097672121">
    <w:abstractNumId w:val="18"/>
  </w:num>
  <w:num w:numId="40" w16cid:durableId="1666392577">
    <w:abstractNumId w:val="33"/>
  </w:num>
  <w:num w:numId="41" w16cid:durableId="339624071">
    <w:abstractNumId w:val="31"/>
  </w:num>
  <w:num w:numId="42" w16cid:durableId="225802367">
    <w:abstractNumId w:val="13"/>
  </w:num>
  <w:num w:numId="43" w16cid:durableId="1099065511">
    <w:abstractNumId w:val="0"/>
  </w:num>
  <w:num w:numId="44" w16cid:durableId="187434609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B0E"/>
    <w:rsid w:val="00010E9E"/>
    <w:rsid w:val="00025528"/>
    <w:rsid w:val="00041D3F"/>
    <w:rsid w:val="0004693E"/>
    <w:rsid w:val="00054910"/>
    <w:rsid w:val="000604DF"/>
    <w:rsid w:val="000623CF"/>
    <w:rsid w:val="00066CEF"/>
    <w:rsid w:val="00072F90"/>
    <w:rsid w:val="00074FD3"/>
    <w:rsid w:val="00076CC1"/>
    <w:rsid w:val="0008392D"/>
    <w:rsid w:val="000A0F9F"/>
    <w:rsid w:val="000A25C5"/>
    <w:rsid w:val="00125404"/>
    <w:rsid w:val="001442A0"/>
    <w:rsid w:val="001477AE"/>
    <w:rsid w:val="00181F13"/>
    <w:rsid w:val="00194357"/>
    <w:rsid w:val="001A0D56"/>
    <w:rsid w:val="001B50DE"/>
    <w:rsid w:val="001C5C16"/>
    <w:rsid w:val="001D7564"/>
    <w:rsid w:val="001F3C27"/>
    <w:rsid w:val="001F534A"/>
    <w:rsid w:val="001F6B4B"/>
    <w:rsid w:val="002071FA"/>
    <w:rsid w:val="00207676"/>
    <w:rsid w:val="002106E5"/>
    <w:rsid w:val="00210F66"/>
    <w:rsid w:val="00224E9C"/>
    <w:rsid w:val="00235D61"/>
    <w:rsid w:val="002376CC"/>
    <w:rsid w:val="00240CCB"/>
    <w:rsid w:val="002478D3"/>
    <w:rsid w:val="002543FB"/>
    <w:rsid w:val="00266E69"/>
    <w:rsid w:val="00276AD6"/>
    <w:rsid w:val="002912E0"/>
    <w:rsid w:val="002934C8"/>
    <w:rsid w:val="00297BE8"/>
    <w:rsid w:val="002B3166"/>
    <w:rsid w:val="002B50EC"/>
    <w:rsid w:val="002D0BA4"/>
    <w:rsid w:val="003021CC"/>
    <w:rsid w:val="0032293F"/>
    <w:rsid w:val="00325E60"/>
    <w:rsid w:val="00336C90"/>
    <w:rsid w:val="0034085B"/>
    <w:rsid w:val="00345066"/>
    <w:rsid w:val="0035284B"/>
    <w:rsid w:val="003532A4"/>
    <w:rsid w:val="00354D4C"/>
    <w:rsid w:val="00357837"/>
    <w:rsid w:val="00381E0B"/>
    <w:rsid w:val="00383000"/>
    <w:rsid w:val="003934CE"/>
    <w:rsid w:val="003978D4"/>
    <w:rsid w:val="003B6B86"/>
    <w:rsid w:val="003B765C"/>
    <w:rsid w:val="003C1A33"/>
    <w:rsid w:val="003D2052"/>
    <w:rsid w:val="003D5E1A"/>
    <w:rsid w:val="003F7B0E"/>
    <w:rsid w:val="004058AC"/>
    <w:rsid w:val="00410E6F"/>
    <w:rsid w:val="004648B7"/>
    <w:rsid w:val="00482F8E"/>
    <w:rsid w:val="00494948"/>
    <w:rsid w:val="004B1C83"/>
    <w:rsid w:val="004C07DE"/>
    <w:rsid w:val="004C1F49"/>
    <w:rsid w:val="004C2253"/>
    <w:rsid w:val="004F33A9"/>
    <w:rsid w:val="004F7029"/>
    <w:rsid w:val="004F71B3"/>
    <w:rsid w:val="005006A6"/>
    <w:rsid w:val="0056269B"/>
    <w:rsid w:val="005747EF"/>
    <w:rsid w:val="0058779C"/>
    <w:rsid w:val="005A1D3D"/>
    <w:rsid w:val="005A785A"/>
    <w:rsid w:val="005B3456"/>
    <w:rsid w:val="005C0CE2"/>
    <w:rsid w:val="005D7A6A"/>
    <w:rsid w:val="005D7F9C"/>
    <w:rsid w:val="005E2278"/>
    <w:rsid w:val="00607824"/>
    <w:rsid w:val="0063370A"/>
    <w:rsid w:val="0066337B"/>
    <w:rsid w:val="006664A2"/>
    <w:rsid w:val="006A1DD6"/>
    <w:rsid w:val="006A5DA8"/>
    <w:rsid w:val="006A71A0"/>
    <w:rsid w:val="006B03C3"/>
    <w:rsid w:val="006B12FC"/>
    <w:rsid w:val="006D78FC"/>
    <w:rsid w:val="006F7491"/>
    <w:rsid w:val="00701CB5"/>
    <w:rsid w:val="00702E3C"/>
    <w:rsid w:val="0070534F"/>
    <w:rsid w:val="00710203"/>
    <w:rsid w:val="00716083"/>
    <w:rsid w:val="0072423E"/>
    <w:rsid w:val="0072469C"/>
    <w:rsid w:val="00754260"/>
    <w:rsid w:val="007632F6"/>
    <w:rsid w:val="00784312"/>
    <w:rsid w:val="00787295"/>
    <w:rsid w:val="00790002"/>
    <w:rsid w:val="0079006A"/>
    <w:rsid w:val="0079169E"/>
    <w:rsid w:val="00794DF5"/>
    <w:rsid w:val="007D56DE"/>
    <w:rsid w:val="007D7B37"/>
    <w:rsid w:val="00802CC0"/>
    <w:rsid w:val="00813A01"/>
    <w:rsid w:val="00815EB3"/>
    <w:rsid w:val="00826173"/>
    <w:rsid w:val="008322E7"/>
    <w:rsid w:val="00843902"/>
    <w:rsid w:val="008511F4"/>
    <w:rsid w:val="00860A3E"/>
    <w:rsid w:val="00861303"/>
    <w:rsid w:val="00866997"/>
    <w:rsid w:val="008C7D65"/>
    <w:rsid w:val="008F552F"/>
    <w:rsid w:val="00921738"/>
    <w:rsid w:val="00926CC4"/>
    <w:rsid w:val="0093411E"/>
    <w:rsid w:val="00936EE3"/>
    <w:rsid w:val="009A7984"/>
    <w:rsid w:val="009D1164"/>
    <w:rsid w:val="009D4458"/>
    <w:rsid w:val="009E5167"/>
    <w:rsid w:val="00A02238"/>
    <w:rsid w:val="00A05AB4"/>
    <w:rsid w:val="00A10F96"/>
    <w:rsid w:val="00A22F25"/>
    <w:rsid w:val="00A22FDC"/>
    <w:rsid w:val="00A25990"/>
    <w:rsid w:val="00A27770"/>
    <w:rsid w:val="00A3185C"/>
    <w:rsid w:val="00A45FF0"/>
    <w:rsid w:val="00A72BA3"/>
    <w:rsid w:val="00A801B3"/>
    <w:rsid w:val="00A958C8"/>
    <w:rsid w:val="00A97008"/>
    <w:rsid w:val="00AA0C0B"/>
    <w:rsid w:val="00AC6D9E"/>
    <w:rsid w:val="00AD51CB"/>
    <w:rsid w:val="00AE7E53"/>
    <w:rsid w:val="00B03BEE"/>
    <w:rsid w:val="00B03D44"/>
    <w:rsid w:val="00B22B11"/>
    <w:rsid w:val="00B265FE"/>
    <w:rsid w:val="00B4275C"/>
    <w:rsid w:val="00B42CC2"/>
    <w:rsid w:val="00B52A98"/>
    <w:rsid w:val="00B52B54"/>
    <w:rsid w:val="00B540F2"/>
    <w:rsid w:val="00B73519"/>
    <w:rsid w:val="00B8535B"/>
    <w:rsid w:val="00B955FA"/>
    <w:rsid w:val="00BA0ECC"/>
    <w:rsid w:val="00BA2AF2"/>
    <w:rsid w:val="00BA3088"/>
    <w:rsid w:val="00BE0ABF"/>
    <w:rsid w:val="00BF214B"/>
    <w:rsid w:val="00C35905"/>
    <w:rsid w:val="00C72587"/>
    <w:rsid w:val="00C80C6E"/>
    <w:rsid w:val="00C849DC"/>
    <w:rsid w:val="00C87B92"/>
    <w:rsid w:val="00C93DB7"/>
    <w:rsid w:val="00C950A2"/>
    <w:rsid w:val="00C96A51"/>
    <w:rsid w:val="00CC35A0"/>
    <w:rsid w:val="00CD2B8B"/>
    <w:rsid w:val="00CE0EBC"/>
    <w:rsid w:val="00D2717D"/>
    <w:rsid w:val="00D35FFF"/>
    <w:rsid w:val="00D449C6"/>
    <w:rsid w:val="00D60DE4"/>
    <w:rsid w:val="00D65FC5"/>
    <w:rsid w:val="00D70C4E"/>
    <w:rsid w:val="00D74216"/>
    <w:rsid w:val="00D9161F"/>
    <w:rsid w:val="00D96F4F"/>
    <w:rsid w:val="00D971BF"/>
    <w:rsid w:val="00DA1DD4"/>
    <w:rsid w:val="00DB078F"/>
    <w:rsid w:val="00DB415A"/>
    <w:rsid w:val="00DC1381"/>
    <w:rsid w:val="00DF3A80"/>
    <w:rsid w:val="00E646C9"/>
    <w:rsid w:val="00E80886"/>
    <w:rsid w:val="00E81EA4"/>
    <w:rsid w:val="00E90FFF"/>
    <w:rsid w:val="00E91F05"/>
    <w:rsid w:val="00EA2435"/>
    <w:rsid w:val="00EA2BF8"/>
    <w:rsid w:val="00EA6602"/>
    <w:rsid w:val="00EB6F04"/>
    <w:rsid w:val="00ED1C82"/>
    <w:rsid w:val="00EE4DE9"/>
    <w:rsid w:val="00EF211C"/>
    <w:rsid w:val="00F041A4"/>
    <w:rsid w:val="00F1443A"/>
    <w:rsid w:val="00F17231"/>
    <w:rsid w:val="00F615D8"/>
    <w:rsid w:val="00F63D4F"/>
    <w:rsid w:val="00F66525"/>
    <w:rsid w:val="00F71537"/>
    <w:rsid w:val="00F760E5"/>
    <w:rsid w:val="00F879F2"/>
    <w:rsid w:val="00F927E9"/>
    <w:rsid w:val="00FF4831"/>
    <w:rsid w:val="085B4879"/>
    <w:rsid w:val="097E3822"/>
    <w:rsid w:val="0BCD436B"/>
    <w:rsid w:val="11E85E6F"/>
    <w:rsid w:val="19F1171D"/>
    <w:rsid w:val="1A273DF6"/>
    <w:rsid w:val="1C41576A"/>
    <w:rsid w:val="1CA2422C"/>
    <w:rsid w:val="1E40715F"/>
    <w:rsid w:val="1E6A6074"/>
    <w:rsid w:val="1EE14099"/>
    <w:rsid w:val="1F271CAA"/>
    <w:rsid w:val="21787EF5"/>
    <w:rsid w:val="254B0665"/>
    <w:rsid w:val="25A540C8"/>
    <w:rsid w:val="25C0407C"/>
    <w:rsid w:val="28D5368A"/>
    <w:rsid w:val="28F20A3C"/>
    <w:rsid w:val="2BFA09B4"/>
    <w:rsid w:val="2F0476B2"/>
    <w:rsid w:val="2F7B5032"/>
    <w:rsid w:val="31CA58BC"/>
    <w:rsid w:val="333F0CA1"/>
    <w:rsid w:val="33552E44"/>
    <w:rsid w:val="351C7684"/>
    <w:rsid w:val="36173CCD"/>
    <w:rsid w:val="3682557A"/>
    <w:rsid w:val="397E3DC8"/>
    <w:rsid w:val="3A041290"/>
    <w:rsid w:val="3A366C90"/>
    <w:rsid w:val="3BC76121"/>
    <w:rsid w:val="3CF26F0B"/>
    <w:rsid w:val="3DA556B2"/>
    <w:rsid w:val="46F860BC"/>
    <w:rsid w:val="485965C0"/>
    <w:rsid w:val="4B79692D"/>
    <w:rsid w:val="4D9664D8"/>
    <w:rsid w:val="4E571C5E"/>
    <w:rsid w:val="4E703C3C"/>
    <w:rsid w:val="50A84B61"/>
    <w:rsid w:val="514968E8"/>
    <w:rsid w:val="517664B3"/>
    <w:rsid w:val="521020E4"/>
    <w:rsid w:val="58A50813"/>
    <w:rsid w:val="59134C30"/>
    <w:rsid w:val="59812CE5"/>
    <w:rsid w:val="59910D81"/>
    <w:rsid w:val="59E54F88"/>
    <w:rsid w:val="59EC0196"/>
    <w:rsid w:val="5B520BBF"/>
    <w:rsid w:val="60D34866"/>
    <w:rsid w:val="63E92BFA"/>
    <w:rsid w:val="65580853"/>
    <w:rsid w:val="65ED6CD8"/>
    <w:rsid w:val="6FE476A3"/>
    <w:rsid w:val="72A1788B"/>
    <w:rsid w:val="765A4D38"/>
    <w:rsid w:val="780A4A7F"/>
    <w:rsid w:val="783458C3"/>
    <w:rsid w:val="78FF0DD5"/>
    <w:rsid w:val="799900B0"/>
    <w:rsid w:val="7C07400A"/>
    <w:rsid w:val="7C395ADE"/>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79" fillcolor="white">
      <v:fill color="white"/>
    </o:shapedefaults>
    <o:shapelayout v:ext="edit">
      <o:idmap v:ext="edit" data="2"/>
    </o:shapelayout>
  </w:shapeDefaults>
  <w:decimalSymbol w:val=","/>
  <w:listSeparator w:val=";"/>
  <w14:docId w14:val="1F57807B"/>
  <w15:docId w15:val="{916C9726-2722-40DA-8F9A-A02D8946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Naslov1">
    <w:name w:val="heading 1"/>
    <w:basedOn w:val="Normal"/>
    <w:next w:val="Normal"/>
    <w:link w:val="Naslov1Char"/>
    <w:uiPriority w:val="9"/>
    <w:qFormat/>
    <w:pPr>
      <w:keepNext/>
      <w:keepLines/>
      <w:spacing w:before="360" w:after="80"/>
      <w:outlineLvl w:val="0"/>
    </w:pPr>
    <w:rPr>
      <w:rFonts w:asciiTheme="majorHAnsi" w:eastAsiaTheme="majorEastAsia" w:hAnsiTheme="majorHAnsi" w:cstheme="majorBidi"/>
      <w:color w:val="6B911C" w:themeColor="accent1" w:themeShade="BF"/>
      <w:sz w:val="40"/>
      <w:szCs w:val="40"/>
    </w:rPr>
  </w:style>
  <w:style w:type="paragraph" w:styleId="Naslov2">
    <w:name w:val="heading 2"/>
    <w:basedOn w:val="Normal"/>
    <w:next w:val="Normal"/>
    <w:link w:val="Naslov2Char"/>
    <w:uiPriority w:val="9"/>
    <w:unhideWhenUsed/>
    <w:qFormat/>
    <w:pPr>
      <w:keepNext/>
      <w:keepLines/>
      <w:spacing w:before="160" w:after="80"/>
      <w:outlineLvl w:val="1"/>
    </w:pPr>
    <w:rPr>
      <w:rFonts w:asciiTheme="majorHAnsi" w:eastAsiaTheme="majorEastAsia" w:hAnsiTheme="majorHAnsi" w:cstheme="majorBidi"/>
      <w:color w:val="6B911C" w:themeColor="accent1" w:themeShade="BF"/>
      <w:sz w:val="32"/>
      <w:szCs w:val="32"/>
    </w:rPr>
  </w:style>
  <w:style w:type="paragraph" w:styleId="Naslov3">
    <w:name w:val="heading 3"/>
    <w:basedOn w:val="Normal"/>
    <w:next w:val="Normal"/>
    <w:link w:val="Naslov3Char"/>
    <w:uiPriority w:val="9"/>
    <w:unhideWhenUsed/>
    <w:qFormat/>
    <w:pPr>
      <w:keepNext/>
      <w:keepLines/>
      <w:spacing w:before="160" w:after="80"/>
      <w:outlineLvl w:val="2"/>
    </w:pPr>
    <w:rPr>
      <w:rFonts w:eastAsiaTheme="majorEastAsia" w:cstheme="majorBidi"/>
      <w:color w:val="6B911C" w:themeColor="accent1" w:themeShade="BF"/>
      <w:sz w:val="28"/>
      <w:szCs w:val="28"/>
    </w:rPr>
  </w:style>
  <w:style w:type="paragraph" w:styleId="Naslov4">
    <w:name w:val="heading 4"/>
    <w:basedOn w:val="Normal"/>
    <w:next w:val="Normal"/>
    <w:link w:val="Naslov4Char"/>
    <w:uiPriority w:val="9"/>
    <w:unhideWhenUsed/>
    <w:qFormat/>
    <w:pPr>
      <w:keepNext/>
      <w:keepLines/>
      <w:spacing w:before="80" w:after="40"/>
      <w:outlineLvl w:val="3"/>
    </w:pPr>
    <w:rPr>
      <w:rFonts w:eastAsiaTheme="majorEastAsia" w:cstheme="majorBidi"/>
      <w:i/>
      <w:iCs/>
      <w:color w:val="6B911C" w:themeColor="accent1" w:themeShade="BF"/>
    </w:rPr>
  </w:style>
  <w:style w:type="paragraph" w:styleId="Naslov5">
    <w:name w:val="heading 5"/>
    <w:basedOn w:val="Normal"/>
    <w:next w:val="Normal"/>
    <w:link w:val="Naslov5Char"/>
    <w:uiPriority w:val="9"/>
    <w:unhideWhenUsed/>
    <w:qFormat/>
    <w:pPr>
      <w:keepNext/>
      <w:keepLines/>
      <w:spacing w:before="80" w:after="40"/>
      <w:outlineLvl w:val="4"/>
    </w:pPr>
    <w:rPr>
      <w:rFonts w:eastAsiaTheme="majorEastAsia" w:cstheme="majorBidi"/>
      <w:color w:val="6B911C" w:themeColor="accent1" w:themeShade="BF"/>
    </w:rPr>
  </w:style>
  <w:style w:type="paragraph" w:styleId="Naslov6">
    <w:name w:val="heading 6"/>
    <w:basedOn w:val="Normal"/>
    <w:next w:val="Normal"/>
    <w:link w:val="Naslov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Naslov9">
    <w:name w:val="heading 9"/>
    <w:basedOn w:val="Normal"/>
    <w:next w:val="Normal"/>
    <w:link w:val="Naslov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unhideWhenUsed/>
    <w:qFormat/>
    <w:pPr>
      <w:tabs>
        <w:tab w:val="center" w:pos="4536"/>
        <w:tab w:val="right" w:pos="9072"/>
      </w:tabs>
      <w:spacing w:after="0" w:line="240" w:lineRule="auto"/>
    </w:pPr>
  </w:style>
  <w:style w:type="character" w:styleId="Referencafusnote">
    <w:name w:val="footnote reference"/>
    <w:basedOn w:val="Zadanifontodlomka"/>
    <w:uiPriority w:val="99"/>
    <w:semiHidden/>
    <w:unhideWhenUsed/>
    <w:qFormat/>
    <w:rPr>
      <w:vertAlign w:val="superscript"/>
    </w:rPr>
  </w:style>
  <w:style w:type="paragraph" w:styleId="Tekstfusnote">
    <w:name w:val="footnote text"/>
    <w:basedOn w:val="Normal"/>
    <w:link w:val="TekstfusnoteChar"/>
    <w:uiPriority w:val="99"/>
    <w:unhideWhenUsed/>
    <w:qFormat/>
    <w:pPr>
      <w:spacing w:after="0" w:line="240" w:lineRule="auto"/>
    </w:pPr>
    <w:rPr>
      <w:rFonts w:eastAsiaTheme="minorEastAsia" w:cs="Times New Roman"/>
      <w:kern w:val="0"/>
      <w:sz w:val="20"/>
      <w:szCs w:val="20"/>
      <w:lang w:eastAsia="hr-HR"/>
      <w14:ligatures w14:val="none"/>
    </w:rPr>
  </w:style>
  <w:style w:type="paragraph" w:styleId="Zaglavlje">
    <w:name w:val="header"/>
    <w:basedOn w:val="Normal"/>
    <w:link w:val="ZaglavljeChar"/>
    <w:uiPriority w:val="99"/>
    <w:unhideWhenUsed/>
    <w:qFormat/>
    <w:pPr>
      <w:tabs>
        <w:tab w:val="center" w:pos="4536"/>
        <w:tab w:val="right" w:pos="9072"/>
      </w:tabs>
      <w:spacing w:after="0" w:line="240" w:lineRule="auto"/>
    </w:pPr>
  </w:style>
  <w:style w:type="character" w:styleId="Hiperveza">
    <w:name w:val="Hyperlink"/>
    <w:basedOn w:val="Zadanifontodlomka"/>
    <w:uiPriority w:val="99"/>
    <w:unhideWhenUsed/>
    <w:qFormat/>
    <w:rPr>
      <w:color w:val="99CA3C" w:themeColor="hyperlink"/>
      <w:u w:val="single"/>
    </w:rPr>
  </w:style>
  <w:style w:type="character" w:styleId="Naglaeno">
    <w:name w:val="Strong"/>
    <w:basedOn w:val="Zadanifontodlomka"/>
    <w:uiPriority w:val="22"/>
    <w:qFormat/>
    <w:rPr>
      <w:b/>
      <w:bCs/>
    </w:rPr>
  </w:style>
  <w:style w:type="paragraph" w:styleId="Podnaslov">
    <w:name w:val="Subtitle"/>
    <w:basedOn w:val="Normal"/>
    <w:next w:val="Normal"/>
    <w:link w:val="PodnaslovChar"/>
    <w:uiPriority w:val="11"/>
    <w:qFormat/>
    <w:rPr>
      <w:rFonts w:eastAsiaTheme="majorEastAsia" w:cstheme="majorBidi"/>
      <w:color w:val="595959" w:themeColor="text1" w:themeTint="A6"/>
      <w:spacing w:val="15"/>
      <w:sz w:val="28"/>
      <w:szCs w:val="28"/>
    </w:rPr>
  </w:style>
  <w:style w:type="table" w:styleId="Reetkatablice">
    <w:name w:val="Table Grid"/>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Sadraj1">
    <w:name w:val="toc 1"/>
    <w:basedOn w:val="Normal"/>
    <w:next w:val="Normal"/>
    <w:autoRedefine/>
    <w:uiPriority w:val="39"/>
    <w:unhideWhenUsed/>
    <w:qFormat/>
    <w:pPr>
      <w:spacing w:after="100"/>
    </w:pPr>
  </w:style>
  <w:style w:type="paragraph" w:styleId="Sadraj2">
    <w:name w:val="toc 2"/>
    <w:basedOn w:val="Normal"/>
    <w:next w:val="Normal"/>
    <w:autoRedefine/>
    <w:uiPriority w:val="39"/>
    <w:unhideWhenUsed/>
    <w:qFormat/>
    <w:pPr>
      <w:spacing w:after="100"/>
      <w:ind w:left="220"/>
    </w:pPr>
  </w:style>
  <w:style w:type="paragraph" w:styleId="Sadraj3">
    <w:name w:val="toc 3"/>
    <w:basedOn w:val="Normal"/>
    <w:next w:val="Normal"/>
    <w:autoRedefine/>
    <w:uiPriority w:val="39"/>
    <w:unhideWhenUsed/>
    <w:qFormat/>
    <w:pPr>
      <w:spacing w:after="100"/>
      <w:ind w:left="440"/>
    </w:pPr>
  </w:style>
  <w:style w:type="paragraph" w:styleId="Sadraj4">
    <w:name w:val="toc 4"/>
    <w:basedOn w:val="Normal"/>
    <w:next w:val="Normal"/>
    <w:autoRedefine/>
    <w:uiPriority w:val="39"/>
    <w:unhideWhenUsed/>
    <w:qFormat/>
    <w:pPr>
      <w:spacing w:after="100" w:line="278" w:lineRule="auto"/>
      <w:ind w:left="720"/>
    </w:pPr>
    <w:rPr>
      <w:rFonts w:eastAsiaTheme="minorEastAsia"/>
      <w:sz w:val="24"/>
      <w:szCs w:val="24"/>
      <w:lang w:eastAsia="hr-HR"/>
    </w:rPr>
  </w:style>
  <w:style w:type="paragraph" w:styleId="Sadraj5">
    <w:name w:val="toc 5"/>
    <w:basedOn w:val="Normal"/>
    <w:next w:val="Normal"/>
    <w:autoRedefine/>
    <w:uiPriority w:val="39"/>
    <w:unhideWhenUsed/>
    <w:qFormat/>
    <w:pPr>
      <w:spacing w:after="100" w:line="278" w:lineRule="auto"/>
      <w:ind w:left="960"/>
    </w:pPr>
    <w:rPr>
      <w:rFonts w:eastAsiaTheme="minorEastAsia"/>
      <w:sz w:val="24"/>
      <w:szCs w:val="24"/>
      <w:lang w:eastAsia="hr-HR"/>
    </w:rPr>
  </w:style>
  <w:style w:type="paragraph" w:styleId="Sadraj6">
    <w:name w:val="toc 6"/>
    <w:basedOn w:val="Normal"/>
    <w:next w:val="Normal"/>
    <w:autoRedefine/>
    <w:uiPriority w:val="39"/>
    <w:unhideWhenUsed/>
    <w:qFormat/>
    <w:pPr>
      <w:spacing w:after="100" w:line="278" w:lineRule="auto"/>
      <w:ind w:left="1200"/>
    </w:pPr>
    <w:rPr>
      <w:rFonts w:eastAsiaTheme="minorEastAsia"/>
      <w:sz w:val="24"/>
      <w:szCs w:val="24"/>
      <w:lang w:eastAsia="hr-HR"/>
    </w:rPr>
  </w:style>
  <w:style w:type="paragraph" w:styleId="Sadraj7">
    <w:name w:val="toc 7"/>
    <w:basedOn w:val="Normal"/>
    <w:next w:val="Normal"/>
    <w:autoRedefine/>
    <w:uiPriority w:val="39"/>
    <w:unhideWhenUsed/>
    <w:qFormat/>
    <w:pPr>
      <w:spacing w:after="100" w:line="278" w:lineRule="auto"/>
      <w:ind w:left="1440"/>
    </w:pPr>
    <w:rPr>
      <w:rFonts w:eastAsiaTheme="minorEastAsia"/>
      <w:sz w:val="24"/>
      <w:szCs w:val="24"/>
      <w:lang w:eastAsia="hr-HR"/>
    </w:rPr>
  </w:style>
  <w:style w:type="paragraph" w:styleId="Sadraj8">
    <w:name w:val="toc 8"/>
    <w:basedOn w:val="Normal"/>
    <w:next w:val="Normal"/>
    <w:autoRedefine/>
    <w:uiPriority w:val="39"/>
    <w:unhideWhenUsed/>
    <w:qFormat/>
    <w:pPr>
      <w:spacing w:after="100" w:line="278" w:lineRule="auto"/>
      <w:ind w:left="1680"/>
    </w:pPr>
    <w:rPr>
      <w:rFonts w:eastAsiaTheme="minorEastAsia"/>
      <w:sz w:val="24"/>
      <w:szCs w:val="24"/>
      <w:lang w:eastAsia="hr-HR"/>
    </w:rPr>
  </w:style>
  <w:style w:type="paragraph" w:styleId="Sadraj9">
    <w:name w:val="toc 9"/>
    <w:basedOn w:val="Normal"/>
    <w:next w:val="Normal"/>
    <w:autoRedefine/>
    <w:uiPriority w:val="39"/>
    <w:unhideWhenUsed/>
    <w:qFormat/>
    <w:pPr>
      <w:spacing w:after="100" w:line="278" w:lineRule="auto"/>
      <w:ind w:left="1920"/>
    </w:pPr>
    <w:rPr>
      <w:rFonts w:eastAsiaTheme="minorEastAsia"/>
      <w:sz w:val="24"/>
      <w:szCs w:val="24"/>
      <w:lang w:eastAsia="hr-HR"/>
    </w:rPr>
  </w:style>
  <w:style w:type="table" w:styleId="Svijetlosjenanje-Isticanje1">
    <w:name w:val="Light Shading Accent 1"/>
    <w:basedOn w:val="Obinatablica"/>
    <w:uiPriority w:val="60"/>
    <w:qFormat/>
    <w:rPr>
      <w:rFonts w:eastAsiaTheme="minorEastAsia"/>
      <w:color w:val="6B911C" w:themeColor="accent1" w:themeShade="BF"/>
    </w:rPr>
    <w:tblPr>
      <w:tblBorders>
        <w:top w:val="single" w:sz="8" w:space="0" w:color="90C226" w:themeColor="accent1"/>
        <w:bottom w:val="single" w:sz="8" w:space="0" w:color="90C226" w:themeColor="accent1"/>
      </w:tblBorders>
    </w:tblPr>
    <w:tblStylePr w:type="fir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la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left w:val="nil"/>
          <w:right w:val="nil"/>
          <w:insideH w:val="nil"/>
          <w:insideV w:val="nil"/>
        </w:tcBorders>
        <w:shd w:val="clear" w:color="auto" w:fill="E4F3C5" w:themeFill="accent1" w:themeFillTint="3F"/>
      </w:tcPr>
    </w:tblStylePr>
  </w:style>
  <w:style w:type="table" w:styleId="Srednjesjenanje2-Isticanje5">
    <w:name w:val="Medium Shading 2 Accent 5"/>
    <w:basedOn w:val="Obinatablica"/>
    <w:uiPriority w:val="64"/>
    <w:qFormat/>
    <w:rPr>
      <w:rFonts w:eastAsiaTheme="minorEastAsia"/>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2F1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2F1A" w:themeFill="accent5"/>
      </w:tcPr>
    </w:tblStylePr>
    <w:tblStylePr w:type="lastCol">
      <w:rPr>
        <w:b/>
        <w:bCs/>
        <w:color w:val="FFFFFF" w:themeColor="background1"/>
      </w:rPr>
      <w:tblPr/>
      <w:tcPr>
        <w:tcBorders>
          <w:left w:val="nil"/>
          <w:right w:val="nil"/>
          <w:insideH w:val="nil"/>
          <w:insideV w:val="nil"/>
        </w:tcBorders>
        <w:shd w:val="clear" w:color="auto" w:fill="C42F1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slov1Char">
    <w:name w:val="Naslov 1 Char"/>
    <w:basedOn w:val="Zadanifontodlomka"/>
    <w:link w:val="Naslov1"/>
    <w:uiPriority w:val="9"/>
    <w:qFormat/>
    <w:rPr>
      <w:rFonts w:asciiTheme="majorHAnsi" w:eastAsiaTheme="majorEastAsia" w:hAnsiTheme="majorHAnsi" w:cstheme="majorBidi"/>
      <w:color w:val="6B911C" w:themeColor="accent1" w:themeShade="BF"/>
      <w:sz w:val="40"/>
      <w:szCs w:val="40"/>
    </w:rPr>
  </w:style>
  <w:style w:type="character" w:customStyle="1" w:styleId="Naslov2Char">
    <w:name w:val="Naslov 2 Char"/>
    <w:basedOn w:val="Zadanifontodlomka"/>
    <w:link w:val="Naslov2"/>
    <w:uiPriority w:val="9"/>
    <w:qFormat/>
    <w:rPr>
      <w:rFonts w:asciiTheme="majorHAnsi" w:eastAsiaTheme="majorEastAsia" w:hAnsiTheme="majorHAnsi" w:cstheme="majorBidi"/>
      <w:color w:val="6B911C" w:themeColor="accent1" w:themeShade="BF"/>
      <w:sz w:val="32"/>
      <w:szCs w:val="32"/>
    </w:rPr>
  </w:style>
  <w:style w:type="character" w:customStyle="1" w:styleId="Naslov3Char">
    <w:name w:val="Naslov 3 Char"/>
    <w:basedOn w:val="Zadanifontodlomka"/>
    <w:link w:val="Naslov3"/>
    <w:uiPriority w:val="9"/>
    <w:qFormat/>
    <w:rPr>
      <w:rFonts w:eastAsiaTheme="majorEastAsia" w:cstheme="majorBidi"/>
      <w:color w:val="6B911C" w:themeColor="accent1" w:themeShade="BF"/>
      <w:sz w:val="28"/>
      <w:szCs w:val="28"/>
    </w:rPr>
  </w:style>
  <w:style w:type="character" w:customStyle="1" w:styleId="Naslov4Char">
    <w:name w:val="Naslov 4 Char"/>
    <w:basedOn w:val="Zadanifontodlomka"/>
    <w:link w:val="Naslov4"/>
    <w:uiPriority w:val="9"/>
    <w:qFormat/>
    <w:rPr>
      <w:rFonts w:eastAsiaTheme="majorEastAsia" w:cstheme="majorBidi"/>
      <w:i/>
      <w:iCs/>
      <w:color w:val="6B911C" w:themeColor="accent1" w:themeShade="BF"/>
    </w:rPr>
  </w:style>
  <w:style w:type="character" w:customStyle="1" w:styleId="Naslov5Char">
    <w:name w:val="Naslov 5 Char"/>
    <w:basedOn w:val="Zadanifontodlomka"/>
    <w:link w:val="Naslov5"/>
    <w:uiPriority w:val="9"/>
    <w:qFormat/>
    <w:rPr>
      <w:rFonts w:eastAsiaTheme="majorEastAsia" w:cstheme="majorBidi"/>
      <w:color w:val="6B911C" w:themeColor="accent1" w:themeShade="BF"/>
    </w:rPr>
  </w:style>
  <w:style w:type="character" w:customStyle="1" w:styleId="Naslov6Char">
    <w:name w:val="Naslov 6 Char"/>
    <w:basedOn w:val="Zadanifontodlomka"/>
    <w:link w:val="Naslov6"/>
    <w:uiPriority w:val="9"/>
    <w:semiHidden/>
    <w:qFormat/>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qFormat/>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qFormat/>
    <w:rPr>
      <w:rFonts w:eastAsiaTheme="majorEastAsia" w:cstheme="majorBidi"/>
      <w:i/>
      <w:iCs/>
      <w:color w:val="262626" w:themeColor="text1" w:themeTint="D9"/>
    </w:rPr>
  </w:style>
  <w:style w:type="character" w:customStyle="1" w:styleId="Naslov9Char">
    <w:name w:val="Naslov 9 Char"/>
    <w:basedOn w:val="Zadanifontodlomka"/>
    <w:link w:val="Naslov9"/>
    <w:uiPriority w:val="9"/>
    <w:semiHidden/>
    <w:qFormat/>
    <w:rPr>
      <w:rFonts w:eastAsiaTheme="majorEastAsia" w:cstheme="majorBidi"/>
      <w:color w:val="262626" w:themeColor="text1" w:themeTint="D9"/>
    </w:rPr>
  </w:style>
  <w:style w:type="character" w:customStyle="1" w:styleId="NaslovChar">
    <w:name w:val="Naslov Char"/>
    <w:basedOn w:val="Zadanifontodlomka"/>
    <w:link w:val="Naslov"/>
    <w:uiPriority w:val="10"/>
    <w:qFormat/>
    <w:rPr>
      <w:rFonts w:asciiTheme="majorHAnsi" w:eastAsiaTheme="majorEastAsia" w:hAnsiTheme="majorHAnsi" w:cstheme="majorBidi"/>
      <w:spacing w:val="-10"/>
      <w:kern w:val="28"/>
      <w:sz w:val="56"/>
      <w:szCs w:val="56"/>
    </w:rPr>
  </w:style>
  <w:style w:type="character" w:customStyle="1" w:styleId="PodnaslovChar">
    <w:name w:val="Podnaslov Char"/>
    <w:basedOn w:val="Zadanifontodlomka"/>
    <w:link w:val="Podnaslov"/>
    <w:uiPriority w:val="11"/>
    <w:qFormat/>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pPr>
      <w:spacing w:before="160"/>
      <w:jc w:val="center"/>
    </w:pPr>
    <w:rPr>
      <w:i/>
      <w:iCs/>
      <w:color w:val="404040" w:themeColor="text1" w:themeTint="BF"/>
    </w:rPr>
  </w:style>
  <w:style w:type="character" w:customStyle="1" w:styleId="CitatChar">
    <w:name w:val="Citat Char"/>
    <w:basedOn w:val="Zadanifontodlomka"/>
    <w:link w:val="Citat"/>
    <w:uiPriority w:val="29"/>
    <w:qFormat/>
    <w:rPr>
      <w:i/>
      <w:iCs/>
      <w:color w:val="404040" w:themeColor="text1" w:themeTint="BF"/>
    </w:rPr>
  </w:style>
  <w:style w:type="paragraph" w:styleId="Odlomakpopisa">
    <w:name w:val="List Paragraph"/>
    <w:basedOn w:val="Normal"/>
    <w:uiPriority w:val="34"/>
    <w:qFormat/>
    <w:pPr>
      <w:ind w:left="720"/>
      <w:contextualSpacing/>
    </w:pPr>
  </w:style>
  <w:style w:type="character" w:customStyle="1" w:styleId="Jakoisticanje1">
    <w:name w:val="Jako isticanje1"/>
    <w:basedOn w:val="Zadanifontodlomka"/>
    <w:uiPriority w:val="21"/>
    <w:qFormat/>
    <w:rPr>
      <w:i/>
      <w:iCs/>
      <w:color w:val="6B911C" w:themeColor="accent1" w:themeShade="BF"/>
    </w:rPr>
  </w:style>
  <w:style w:type="paragraph" w:styleId="Naglaencitat">
    <w:name w:val="Intense Quote"/>
    <w:basedOn w:val="Normal"/>
    <w:next w:val="Normal"/>
    <w:link w:val="NaglaencitatChar"/>
    <w:uiPriority w:val="30"/>
    <w:qFormat/>
    <w:pPr>
      <w:pBdr>
        <w:top w:val="single" w:sz="4" w:space="10" w:color="6B911C" w:themeColor="accent1" w:themeShade="BF"/>
        <w:bottom w:val="single" w:sz="4" w:space="10" w:color="6B911C" w:themeColor="accent1" w:themeShade="BF"/>
      </w:pBdr>
      <w:spacing w:before="360" w:after="360"/>
      <w:ind w:left="864" w:right="864"/>
      <w:jc w:val="center"/>
    </w:pPr>
    <w:rPr>
      <w:i/>
      <w:iCs/>
      <w:color w:val="6B911C" w:themeColor="accent1" w:themeShade="BF"/>
    </w:rPr>
  </w:style>
  <w:style w:type="character" w:customStyle="1" w:styleId="NaglaencitatChar">
    <w:name w:val="Naglašen citat Char"/>
    <w:basedOn w:val="Zadanifontodlomka"/>
    <w:link w:val="Naglaencitat"/>
    <w:uiPriority w:val="30"/>
    <w:qFormat/>
    <w:rPr>
      <w:i/>
      <w:iCs/>
      <w:color w:val="6B911C" w:themeColor="accent1" w:themeShade="BF"/>
    </w:rPr>
  </w:style>
  <w:style w:type="character" w:customStyle="1" w:styleId="Istaknutareferenca1">
    <w:name w:val="Istaknuta referenca1"/>
    <w:basedOn w:val="Zadanifontodlomka"/>
    <w:uiPriority w:val="32"/>
    <w:qFormat/>
    <w:rPr>
      <w:b/>
      <w:bCs/>
      <w:smallCaps/>
      <w:color w:val="6B911C" w:themeColor="accent1" w:themeShade="BF"/>
      <w:spacing w:val="5"/>
    </w:rPr>
  </w:style>
  <w:style w:type="character" w:customStyle="1" w:styleId="ZaglavljeChar">
    <w:name w:val="Zaglavlje Char"/>
    <w:basedOn w:val="Zadanifontodlomka"/>
    <w:link w:val="Zaglavlje"/>
    <w:uiPriority w:val="99"/>
    <w:qFormat/>
  </w:style>
  <w:style w:type="character" w:customStyle="1" w:styleId="PodnojeChar">
    <w:name w:val="Podnožje Char"/>
    <w:basedOn w:val="Zadanifontodlomka"/>
    <w:link w:val="Podnoje"/>
    <w:uiPriority w:val="99"/>
    <w:qFormat/>
  </w:style>
  <w:style w:type="paragraph" w:customStyle="1" w:styleId="DecimalAligned">
    <w:name w:val="Decimal Aligned"/>
    <w:basedOn w:val="Normal"/>
    <w:uiPriority w:val="40"/>
    <w:qFormat/>
    <w:pPr>
      <w:tabs>
        <w:tab w:val="decimal" w:pos="360"/>
      </w:tabs>
      <w:spacing w:after="200" w:line="276" w:lineRule="auto"/>
    </w:pPr>
    <w:rPr>
      <w:rFonts w:eastAsiaTheme="minorEastAsia" w:cs="Times New Roman"/>
      <w:kern w:val="0"/>
      <w:lang w:eastAsia="hr-HR"/>
      <w14:ligatures w14:val="none"/>
    </w:rPr>
  </w:style>
  <w:style w:type="character" w:customStyle="1" w:styleId="TekstfusnoteChar">
    <w:name w:val="Tekst fusnote Char"/>
    <w:basedOn w:val="Zadanifontodlomka"/>
    <w:link w:val="Tekstfusnote"/>
    <w:uiPriority w:val="99"/>
    <w:qFormat/>
    <w:rPr>
      <w:rFonts w:eastAsiaTheme="minorEastAsia" w:cs="Times New Roman"/>
      <w:kern w:val="0"/>
      <w:sz w:val="20"/>
      <w:szCs w:val="20"/>
      <w:lang w:eastAsia="hr-HR"/>
      <w14:ligatures w14:val="none"/>
    </w:rPr>
  </w:style>
  <w:style w:type="character" w:customStyle="1" w:styleId="Neupadljivoisticanje1">
    <w:name w:val="Neupadljivo isticanje1"/>
    <w:basedOn w:val="Zadanifontodlomka"/>
    <w:uiPriority w:val="19"/>
    <w:qFormat/>
    <w:rPr>
      <w:i/>
      <w:iCs/>
    </w:rPr>
  </w:style>
  <w:style w:type="table" w:customStyle="1" w:styleId="Tablicapopisa4-isticanje11">
    <w:name w:val="Tablica popisa 4 - isticanje 11"/>
    <w:basedOn w:val="Obinatablica"/>
    <w:uiPriority w:val="49"/>
    <w:qFormat/>
    <w:tblPr>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paragraph" w:customStyle="1" w:styleId="box478068">
    <w:name w:val="box_478068"/>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bold">
    <w:name w:val="bold"/>
    <w:basedOn w:val="Zadanifontodlomka"/>
    <w:qFormat/>
  </w:style>
  <w:style w:type="character" w:styleId="Tekstrezerviranogmjesta">
    <w:name w:val="Placeholder Text"/>
    <w:basedOn w:val="Zadanifontodlomka"/>
    <w:uiPriority w:val="99"/>
    <w:semiHidden/>
    <w:qFormat/>
    <w:rPr>
      <w:color w:val="666666"/>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t-9-8-bez-uvl">
    <w:name w:val="t-9-8-bez-uvl"/>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kurziv">
    <w:name w:val="kurziv"/>
    <w:basedOn w:val="Zadanifontodlomka"/>
    <w:qFormat/>
  </w:style>
  <w:style w:type="paragraph" w:customStyle="1" w:styleId="slika">
    <w:name w:val="slika"/>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TOCNaslov1">
    <w:name w:val="TOC Naslov1"/>
    <w:basedOn w:val="Naslov1"/>
    <w:next w:val="Normal"/>
    <w:uiPriority w:val="39"/>
    <w:unhideWhenUsed/>
    <w:qFormat/>
    <w:pPr>
      <w:spacing w:before="240" w:after="0"/>
      <w:outlineLvl w:val="9"/>
    </w:pPr>
    <w:rPr>
      <w:kern w:val="0"/>
      <w:sz w:val="32"/>
      <w:szCs w:val="32"/>
      <w:lang w:eastAsia="hr-HR"/>
      <w14:ligatures w14:val="none"/>
    </w:rPr>
  </w:style>
  <w:style w:type="table" w:customStyle="1" w:styleId="Tablicareetke4-isticanje11">
    <w:name w:val="Tablica rešetke 4 - isticanje 11"/>
    <w:basedOn w:val="Obinatablica"/>
    <w:uiPriority w:val="49"/>
    <w:qFormat/>
    <w:tblPr>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character" w:customStyle="1" w:styleId="Nerijeenospominjanje2">
    <w:name w:val="Neriješeno spominjanje2"/>
    <w:basedOn w:val="Zadanifontodlomka"/>
    <w:uiPriority w:val="99"/>
    <w:semiHidden/>
    <w:unhideWhenUsed/>
    <w:rPr>
      <w:color w:val="605E5C"/>
      <w:shd w:val="clear" w:color="auto" w:fill="E1DFDD"/>
    </w:rPr>
  </w:style>
  <w:style w:type="character" w:styleId="Nerijeenospominjanje">
    <w:name w:val="Unresolved Mention"/>
    <w:basedOn w:val="Zadanifontodlomka"/>
    <w:uiPriority w:val="99"/>
    <w:semiHidden/>
    <w:unhideWhenUsed/>
    <w:rsid w:val="00340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s://pp-telascica.hr/" TargetMode="External"/><Relationship Id="rId34" Type="http://schemas.openxmlformats.org/officeDocument/2006/relationships/hyperlink" Target="https://podaci.dzs.hr/h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www.natura-jadera.hr/"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s://registar.kulturnadobra.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hyperlink" Target="https://pp-telascica.hr/"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zdravlje.gov.hr/UserDocsImages/2017%20Sanitarna/up7.pdf" TargetMode="External"/><Relationship Id="rId28" Type="http://schemas.openxmlformats.org/officeDocument/2006/relationships/hyperlink" Target="https://oss.uredjenazemlja.hr/map"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dugiotok.hr" TargetMode="External"/><Relationship Id="rId31" Type="http://schemas.openxmlformats.org/officeDocument/2006/relationships/hyperlink" Target="https://www.google.com/maps/search/?api=1&amp;quer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natura-jadera.hr/" TargetMode="External"/><Relationship Id="rId27" Type="http://schemas.openxmlformats.org/officeDocument/2006/relationships/hyperlink" Target="https://geoportal.dgu.hr/" TargetMode="External"/><Relationship Id="rId30" Type="http://schemas.openxmlformats.org/officeDocument/2006/relationships/hyperlink" Target="https://earth.google.com/web"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atura-jadera.hr/o-nama/planovi-upravljanja/" TargetMode="External"/><Relationship Id="rId13" Type="http://schemas.openxmlformats.org/officeDocument/2006/relationships/hyperlink" Target="https://www.opcina-sali.hr/2023/02/27/tranzicijski-plan-prema-cistoj-energiji-dugog-otoka-zverinca-i-lavdare/" TargetMode="External"/><Relationship Id="rId3" Type="http://schemas.openxmlformats.org/officeDocument/2006/relationships/hyperlink" Target="https://geoportal.hrvatske-ceste.hr/gis?c=585099%2C4917628&amp;so=&amp;z=3.5" TargetMode="External"/><Relationship Id="rId7" Type="http://schemas.openxmlformats.org/officeDocument/2006/relationships/hyperlink" Target="https://pp-telascica.hr/" TargetMode="External"/><Relationship Id="rId12" Type="http://schemas.openxmlformats.org/officeDocument/2006/relationships/hyperlink" Target="https://telemach.hr/podrska/mobilna-telefonija/pokrivenost-mobilna-telefonija" TargetMode="External"/><Relationship Id="rId2" Type="http://schemas.openxmlformats.org/officeDocument/2006/relationships/hyperlink" Target="https://podaci.dzs.hr/hr/podaci/turizam/" TargetMode="External"/><Relationship Id="rId1" Type="http://schemas.openxmlformats.org/officeDocument/2006/relationships/hyperlink" Target="https://podaci.dzs.hr/hr/podaci/stanovnistvo/" TargetMode="External"/><Relationship Id="rId6" Type="http://schemas.openxmlformats.org/officeDocument/2006/relationships/hyperlink" Target="https://weather-and-climate.com/average-monthly-Rainfall-Temperature-Sunshine-region-dugi-otok-hr,Croatia" TargetMode="External"/><Relationship Id="rId11" Type="http://schemas.openxmlformats.org/officeDocument/2006/relationships/hyperlink" Target="https://www.hrvatskitelekom.hr/karte-pokrivenosti" TargetMode="External"/><Relationship Id="rId5" Type="http://schemas.openxmlformats.org/officeDocument/2006/relationships/hyperlink" Target="https://geoportal.dgu.hr/" TargetMode="External"/><Relationship Id="rId10" Type="http://schemas.openxmlformats.org/officeDocument/2006/relationships/hyperlink" Target="https://www.a1.hr/karta-pokrivenosti" TargetMode="External"/><Relationship Id="rId4" Type="http://schemas.openxmlformats.org/officeDocument/2006/relationships/hyperlink" Target="https://maps.google.com" TargetMode="External"/><Relationship Id="rId9" Type="http://schemas.openxmlformats.org/officeDocument/2006/relationships/hyperlink" Target="https://pp-telascica.hr/interni-akti/" TargetMode="External"/></Relationships>
</file>

<file path=word/theme/theme1.xml><?xml version="1.0" encoding="utf-8"?>
<a:theme xmlns:a="http://schemas.openxmlformats.org/drawingml/2006/main" name="Faseta">
  <a:themeElements>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74B64A58-D852-43C3-93A2-962D49E5EFBB}">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220</Pages>
  <Words>55526</Words>
  <Characters>316504</Characters>
  <Application>Microsoft Office Word</Application>
  <DocSecurity>0</DocSecurity>
  <Lines>2637</Lines>
  <Paragraphs>742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 Petešić</dc:creator>
  <cp:lastModifiedBy>Mulic d.o.o.</cp:lastModifiedBy>
  <cp:revision>55</cp:revision>
  <cp:lastPrinted>2025-12-17T11:14:00Z</cp:lastPrinted>
  <dcterms:created xsi:type="dcterms:W3CDTF">2025-07-02T09:17:00Z</dcterms:created>
  <dcterms:modified xsi:type="dcterms:W3CDTF">2025-12-19T11:42:00Z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9841866BA6FB48358E95775B121D78F9_12</vt:lpwstr>
  </property>
</Properties>
</file>