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DC65" w14:textId="77777777" w:rsidR="00D5337A" w:rsidRPr="004E60F5" w:rsidRDefault="00D5337A" w:rsidP="00D5337A">
      <w:pPr>
        <w:spacing w:after="0"/>
        <w:rPr>
          <w:rFonts w:ascii="Calibri" w:hAnsi="Calibri" w:cs="Calibri"/>
          <w:b/>
        </w:rPr>
      </w:pPr>
      <w:r w:rsidRPr="004E60F5">
        <w:rPr>
          <w:rFonts w:ascii="Calibri" w:hAnsi="Calibri" w:cs="Calibri"/>
          <w:b/>
        </w:rPr>
        <w:t>Naziv:</w:t>
      </w:r>
      <w:r w:rsidRPr="004E60F5">
        <w:rPr>
          <w:rFonts w:ascii="Calibri" w:hAnsi="Calibri" w:cs="Calibri"/>
          <w:b/>
        </w:rPr>
        <w:tab/>
      </w:r>
      <w:r w:rsidRPr="004E60F5">
        <w:rPr>
          <w:rFonts w:ascii="Calibri" w:hAnsi="Calibri" w:cs="Calibri"/>
          <w:b/>
        </w:rPr>
        <w:tab/>
        <w:t>DJEČJI VRTIĆ „ORKULICE“</w:t>
      </w:r>
    </w:p>
    <w:p w14:paraId="0178BEE0" w14:textId="1BC286C6" w:rsidR="00D5337A" w:rsidRPr="004E60F5" w:rsidRDefault="00D5337A" w:rsidP="00D5337A">
      <w:pPr>
        <w:spacing w:after="0"/>
        <w:rPr>
          <w:rFonts w:ascii="Calibri" w:hAnsi="Calibri" w:cs="Calibri"/>
          <w:b/>
        </w:rPr>
      </w:pPr>
      <w:r w:rsidRPr="004E60F5">
        <w:rPr>
          <w:rFonts w:ascii="Calibri" w:hAnsi="Calibri" w:cs="Calibri"/>
          <w:b/>
        </w:rPr>
        <w:t>Broj RKP-a:</w:t>
      </w:r>
      <w:r w:rsidRPr="004E60F5">
        <w:rPr>
          <w:rFonts w:ascii="Calibri" w:hAnsi="Calibri" w:cs="Calibri"/>
          <w:b/>
        </w:rPr>
        <w:tab/>
        <w:t>35255</w:t>
      </w:r>
      <w:r w:rsidRPr="004E60F5">
        <w:rPr>
          <w:rFonts w:ascii="Calibri" w:hAnsi="Calibri" w:cs="Calibri"/>
          <w:b/>
        </w:rPr>
        <w:tab/>
      </w:r>
      <w:r w:rsidRPr="004E60F5">
        <w:rPr>
          <w:rFonts w:ascii="Calibri" w:hAnsi="Calibri" w:cs="Calibri"/>
          <w:b/>
        </w:rPr>
        <w:tab/>
      </w:r>
      <w:r w:rsidRPr="004E60F5">
        <w:rPr>
          <w:rFonts w:ascii="Calibri" w:hAnsi="Calibri" w:cs="Calibri"/>
          <w:b/>
        </w:rPr>
        <w:tab/>
      </w:r>
      <w:r w:rsidRPr="004E60F5">
        <w:rPr>
          <w:rFonts w:ascii="Calibri" w:hAnsi="Calibri" w:cs="Calibri"/>
          <w:b/>
        </w:rPr>
        <w:tab/>
        <w:t>Razina:</w:t>
      </w:r>
      <w:r w:rsidRPr="004E60F5">
        <w:rPr>
          <w:rFonts w:ascii="Calibri" w:hAnsi="Calibri" w:cs="Calibri"/>
          <w:b/>
        </w:rPr>
        <w:tab/>
        <w:t xml:space="preserve"> </w:t>
      </w:r>
      <w:r w:rsidR="004E60F5">
        <w:rPr>
          <w:rFonts w:ascii="Calibri" w:hAnsi="Calibri" w:cs="Calibri"/>
          <w:b/>
        </w:rPr>
        <w:tab/>
      </w:r>
      <w:r w:rsidRPr="004E60F5">
        <w:rPr>
          <w:rFonts w:ascii="Calibri" w:hAnsi="Calibri" w:cs="Calibri"/>
          <w:b/>
        </w:rPr>
        <w:t>21 Proračunski korisnik JLPRS</w:t>
      </w:r>
    </w:p>
    <w:p w14:paraId="103F42FD" w14:textId="77777777" w:rsidR="00D5337A" w:rsidRPr="004E60F5" w:rsidRDefault="00D5337A" w:rsidP="00D5337A">
      <w:pPr>
        <w:spacing w:after="0"/>
        <w:rPr>
          <w:rFonts w:ascii="Calibri" w:hAnsi="Calibri" w:cs="Calibri"/>
          <w:b/>
        </w:rPr>
      </w:pPr>
      <w:r w:rsidRPr="004E60F5">
        <w:rPr>
          <w:rFonts w:ascii="Calibri" w:hAnsi="Calibri" w:cs="Calibri"/>
          <w:b/>
        </w:rPr>
        <w:t>Matični broja:</w:t>
      </w:r>
      <w:r w:rsidRPr="004E60F5">
        <w:rPr>
          <w:rFonts w:ascii="Calibri" w:hAnsi="Calibri" w:cs="Calibri"/>
          <w:b/>
        </w:rPr>
        <w:tab/>
        <w:t>01677594</w:t>
      </w:r>
      <w:r w:rsidRPr="004E60F5">
        <w:rPr>
          <w:rFonts w:ascii="Calibri" w:hAnsi="Calibri" w:cs="Calibri"/>
          <w:b/>
        </w:rPr>
        <w:tab/>
      </w:r>
      <w:r w:rsidRPr="004E60F5">
        <w:rPr>
          <w:rFonts w:ascii="Calibri" w:hAnsi="Calibri" w:cs="Calibri"/>
          <w:b/>
        </w:rPr>
        <w:tab/>
      </w:r>
      <w:r w:rsidRPr="004E60F5">
        <w:rPr>
          <w:rFonts w:ascii="Calibri" w:hAnsi="Calibri" w:cs="Calibri"/>
          <w:b/>
        </w:rPr>
        <w:tab/>
        <w:t>Razdjel:</w:t>
      </w:r>
      <w:r w:rsidRPr="004E60F5">
        <w:rPr>
          <w:rFonts w:ascii="Calibri" w:hAnsi="Calibri" w:cs="Calibri"/>
          <w:b/>
        </w:rPr>
        <w:tab/>
        <w:t xml:space="preserve"> 000 Nema razdjela</w:t>
      </w:r>
    </w:p>
    <w:p w14:paraId="65F98C72" w14:textId="77777777" w:rsidR="00D5337A" w:rsidRPr="004E60F5" w:rsidRDefault="00D5337A" w:rsidP="00D5337A">
      <w:pPr>
        <w:spacing w:after="0"/>
        <w:rPr>
          <w:rFonts w:ascii="Calibri" w:hAnsi="Calibri" w:cs="Calibri"/>
          <w:b/>
        </w:rPr>
      </w:pPr>
      <w:r w:rsidRPr="004E60F5">
        <w:rPr>
          <w:rFonts w:ascii="Calibri" w:hAnsi="Calibri" w:cs="Calibri"/>
          <w:b/>
        </w:rPr>
        <w:t>OIB:</w:t>
      </w:r>
      <w:r w:rsidRPr="004E60F5">
        <w:rPr>
          <w:rFonts w:ascii="Calibri" w:hAnsi="Calibri" w:cs="Calibri"/>
          <w:b/>
        </w:rPr>
        <w:tab/>
      </w:r>
      <w:r w:rsidRPr="004E60F5">
        <w:rPr>
          <w:rFonts w:ascii="Calibri" w:hAnsi="Calibri" w:cs="Calibri"/>
          <w:b/>
        </w:rPr>
        <w:tab/>
        <w:t>96636983434</w:t>
      </w:r>
      <w:r w:rsidRPr="004E60F5">
        <w:rPr>
          <w:rFonts w:ascii="Calibri" w:hAnsi="Calibri" w:cs="Calibri"/>
          <w:b/>
        </w:rPr>
        <w:tab/>
      </w:r>
      <w:r w:rsidRPr="004E60F5">
        <w:rPr>
          <w:rFonts w:ascii="Calibri" w:hAnsi="Calibri" w:cs="Calibri"/>
          <w:b/>
        </w:rPr>
        <w:tab/>
      </w:r>
      <w:r w:rsidRPr="004E60F5">
        <w:rPr>
          <w:rFonts w:ascii="Calibri" w:hAnsi="Calibri" w:cs="Calibri"/>
          <w:b/>
        </w:rPr>
        <w:tab/>
        <w:t xml:space="preserve">Šifra </w:t>
      </w:r>
      <w:proofErr w:type="spellStart"/>
      <w:r w:rsidRPr="004E60F5">
        <w:rPr>
          <w:rFonts w:ascii="Calibri" w:hAnsi="Calibri" w:cs="Calibri"/>
          <w:b/>
        </w:rPr>
        <w:t>djelatn</w:t>
      </w:r>
      <w:proofErr w:type="spellEnd"/>
      <w:r w:rsidRPr="004E60F5">
        <w:rPr>
          <w:rFonts w:ascii="Calibri" w:hAnsi="Calibri" w:cs="Calibri"/>
          <w:b/>
        </w:rPr>
        <w:t>:</w:t>
      </w:r>
      <w:r w:rsidRPr="004E60F5">
        <w:rPr>
          <w:rFonts w:ascii="Calibri" w:hAnsi="Calibri" w:cs="Calibri"/>
          <w:b/>
        </w:rPr>
        <w:tab/>
        <w:t xml:space="preserve"> 8510 Predškolsko obrazovanje</w:t>
      </w:r>
    </w:p>
    <w:p w14:paraId="318DE105" w14:textId="10B908C3" w:rsidR="00D5337A" w:rsidRPr="004E60F5" w:rsidRDefault="00D5337A" w:rsidP="00D5337A">
      <w:pPr>
        <w:spacing w:after="0"/>
        <w:rPr>
          <w:rFonts w:ascii="Calibri" w:hAnsi="Calibri" w:cs="Calibri"/>
          <w:b/>
        </w:rPr>
      </w:pPr>
      <w:r w:rsidRPr="004E60F5">
        <w:rPr>
          <w:rFonts w:ascii="Calibri" w:hAnsi="Calibri" w:cs="Calibri"/>
          <w:b/>
        </w:rPr>
        <w:t>Sjedište:</w:t>
      </w:r>
      <w:r w:rsidRPr="004E60F5">
        <w:rPr>
          <w:rFonts w:ascii="Calibri" w:hAnsi="Calibri" w:cs="Calibri"/>
          <w:b/>
        </w:rPr>
        <w:tab/>
        <w:t>23281 SALI</w:t>
      </w:r>
      <w:r w:rsidRPr="004E60F5">
        <w:rPr>
          <w:rFonts w:ascii="Calibri" w:hAnsi="Calibri" w:cs="Calibri"/>
          <w:b/>
        </w:rPr>
        <w:tab/>
      </w:r>
      <w:r w:rsidRPr="004E60F5">
        <w:rPr>
          <w:rFonts w:ascii="Calibri" w:hAnsi="Calibri" w:cs="Calibri"/>
          <w:b/>
        </w:rPr>
        <w:tab/>
      </w:r>
      <w:r w:rsidRPr="004E60F5">
        <w:rPr>
          <w:rFonts w:ascii="Calibri" w:hAnsi="Calibri" w:cs="Calibri"/>
          <w:b/>
        </w:rPr>
        <w:tab/>
        <w:t xml:space="preserve">Šifra Županije: </w:t>
      </w:r>
      <w:r w:rsidR="004E60F5">
        <w:rPr>
          <w:rFonts w:ascii="Calibri" w:hAnsi="Calibri" w:cs="Calibri"/>
          <w:b/>
        </w:rPr>
        <w:tab/>
      </w:r>
      <w:r w:rsidRPr="004E60F5">
        <w:rPr>
          <w:rFonts w:ascii="Calibri" w:hAnsi="Calibri" w:cs="Calibri"/>
          <w:b/>
        </w:rPr>
        <w:t>379 Općina Sali</w:t>
      </w:r>
    </w:p>
    <w:p w14:paraId="2AFE58AE" w14:textId="200931A7" w:rsidR="00D5337A" w:rsidRPr="004E60F5" w:rsidRDefault="00D5337A" w:rsidP="00D5337A">
      <w:pPr>
        <w:spacing w:after="0"/>
        <w:rPr>
          <w:rFonts w:ascii="Calibri" w:hAnsi="Calibri" w:cs="Calibri"/>
          <w:b/>
        </w:rPr>
      </w:pPr>
      <w:r w:rsidRPr="004E60F5">
        <w:rPr>
          <w:rFonts w:ascii="Calibri" w:hAnsi="Calibri" w:cs="Calibri"/>
          <w:b/>
        </w:rPr>
        <w:t>Adresa:</w:t>
      </w:r>
      <w:r w:rsidRPr="004E60F5">
        <w:rPr>
          <w:rFonts w:ascii="Calibri" w:hAnsi="Calibri" w:cs="Calibri"/>
          <w:b/>
        </w:rPr>
        <w:tab/>
      </w:r>
      <w:r w:rsidR="004E60F5">
        <w:rPr>
          <w:rFonts w:ascii="Calibri" w:hAnsi="Calibri" w:cs="Calibri"/>
          <w:b/>
        </w:rPr>
        <w:tab/>
      </w:r>
      <w:r w:rsidRPr="004E60F5">
        <w:rPr>
          <w:rFonts w:ascii="Calibri" w:hAnsi="Calibri" w:cs="Calibri"/>
          <w:b/>
        </w:rPr>
        <w:t>Sali III 20</w:t>
      </w:r>
      <w:r w:rsidRPr="004E60F5">
        <w:rPr>
          <w:rFonts w:ascii="Calibri" w:hAnsi="Calibri" w:cs="Calibri"/>
          <w:b/>
        </w:rPr>
        <w:tab/>
      </w:r>
      <w:r w:rsidRPr="004E60F5">
        <w:rPr>
          <w:rFonts w:ascii="Calibri" w:hAnsi="Calibri" w:cs="Calibri"/>
          <w:b/>
        </w:rPr>
        <w:tab/>
      </w:r>
      <w:r w:rsidRPr="004E60F5">
        <w:rPr>
          <w:rFonts w:ascii="Calibri" w:hAnsi="Calibri" w:cs="Calibri"/>
          <w:b/>
        </w:rPr>
        <w:tab/>
        <w:t>Razdoblje:</w:t>
      </w:r>
      <w:r w:rsidRPr="004E60F5">
        <w:rPr>
          <w:rFonts w:ascii="Calibri" w:hAnsi="Calibri" w:cs="Calibri"/>
          <w:b/>
        </w:rPr>
        <w:tab/>
        <w:t xml:space="preserve"> od 01.01.202</w:t>
      </w:r>
      <w:r w:rsidR="004E60F5" w:rsidRPr="004E60F5">
        <w:rPr>
          <w:rFonts w:ascii="Calibri" w:hAnsi="Calibri" w:cs="Calibri"/>
          <w:b/>
        </w:rPr>
        <w:t>1</w:t>
      </w:r>
      <w:r w:rsidRPr="004E60F5">
        <w:rPr>
          <w:rFonts w:ascii="Calibri" w:hAnsi="Calibri" w:cs="Calibri"/>
          <w:b/>
        </w:rPr>
        <w:t>. do 31.12.202</w:t>
      </w:r>
      <w:r w:rsidR="004E60F5" w:rsidRPr="004E60F5">
        <w:rPr>
          <w:rFonts w:ascii="Calibri" w:hAnsi="Calibri" w:cs="Calibri"/>
          <w:b/>
        </w:rPr>
        <w:t>1</w:t>
      </w:r>
      <w:r w:rsidRPr="004E60F5">
        <w:rPr>
          <w:rFonts w:ascii="Calibri" w:hAnsi="Calibri" w:cs="Calibri"/>
          <w:b/>
        </w:rPr>
        <w:t>.</w:t>
      </w:r>
    </w:p>
    <w:p w14:paraId="7A9CD935" w14:textId="433F70BE" w:rsidR="00D5337A" w:rsidRDefault="00D5337A" w:rsidP="00D5337A">
      <w:pPr>
        <w:spacing w:after="0"/>
        <w:rPr>
          <w:rFonts w:ascii="Calibri" w:hAnsi="Calibri" w:cs="Calibri"/>
          <w:b/>
        </w:rPr>
      </w:pPr>
      <w:r w:rsidRPr="004E60F5">
        <w:rPr>
          <w:rFonts w:ascii="Calibri" w:hAnsi="Calibri" w:cs="Calibri"/>
          <w:b/>
        </w:rPr>
        <w:tab/>
      </w:r>
    </w:p>
    <w:p w14:paraId="73D4EF74" w14:textId="77777777" w:rsidR="00315BD8" w:rsidRPr="004E60F5" w:rsidRDefault="00315BD8" w:rsidP="00D5337A">
      <w:pPr>
        <w:spacing w:after="0"/>
        <w:rPr>
          <w:rFonts w:ascii="Calibri" w:hAnsi="Calibri" w:cs="Calibri"/>
          <w:b/>
        </w:rPr>
      </w:pPr>
    </w:p>
    <w:p w14:paraId="7E3B1653" w14:textId="77777777" w:rsidR="004E60F5" w:rsidRPr="004E60F5" w:rsidRDefault="004E60F5" w:rsidP="004E60F5">
      <w:pPr>
        <w:spacing w:after="0"/>
        <w:jc w:val="center"/>
        <w:rPr>
          <w:rFonts w:ascii="Calibri" w:hAnsi="Calibri" w:cs="Calibri"/>
          <w:b/>
        </w:rPr>
      </w:pPr>
      <w:r w:rsidRPr="004E60F5">
        <w:rPr>
          <w:rFonts w:ascii="Calibri" w:hAnsi="Calibri" w:cs="Calibri"/>
          <w:b/>
        </w:rPr>
        <w:t xml:space="preserve">BILJEŠKE UZ FINANCIJSKE IZVJEŠTAJE </w:t>
      </w:r>
    </w:p>
    <w:p w14:paraId="3BD47CAB" w14:textId="77777777" w:rsidR="004E60F5" w:rsidRPr="004E60F5" w:rsidRDefault="004E60F5" w:rsidP="004E60F5">
      <w:pPr>
        <w:spacing w:after="0"/>
        <w:jc w:val="center"/>
        <w:rPr>
          <w:rFonts w:ascii="Calibri" w:hAnsi="Calibri" w:cs="Calibri"/>
          <w:b/>
        </w:rPr>
      </w:pPr>
      <w:r w:rsidRPr="004E60F5">
        <w:rPr>
          <w:rFonts w:ascii="Calibri" w:hAnsi="Calibri" w:cs="Calibri"/>
          <w:b/>
        </w:rPr>
        <w:t>ZA RAZDOBLJE OD 01. SIJEČNJA DO 31. PROSINCA 2021. GODINE</w:t>
      </w:r>
    </w:p>
    <w:p w14:paraId="23717CE2" w14:textId="77777777" w:rsidR="00D5337A" w:rsidRPr="004E60F5" w:rsidRDefault="00D5337A" w:rsidP="00D5337A">
      <w:pPr>
        <w:spacing w:after="0"/>
        <w:rPr>
          <w:rFonts w:ascii="Calibri" w:hAnsi="Calibri" w:cs="Calibri"/>
          <w:b/>
        </w:rPr>
      </w:pPr>
    </w:p>
    <w:p w14:paraId="53D0ACB6" w14:textId="45393D4E" w:rsidR="00D5337A" w:rsidRPr="004E60F5" w:rsidRDefault="00D5337A" w:rsidP="00D5337A">
      <w:pPr>
        <w:jc w:val="both"/>
        <w:rPr>
          <w:rFonts w:ascii="Calibri" w:hAnsi="Calibri" w:cs="Calibri"/>
        </w:rPr>
      </w:pPr>
      <w:r w:rsidRPr="00F12ADC">
        <w:rPr>
          <w:rFonts w:ascii="Calibri" w:hAnsi="Calibri" w:cs="Calibri"/>
        </w:rPr>
        <w:t>Početkom 2003. godine Općina Sali</w:t>
      </w:r>
      <w:r w:rsidR="004E60F5" w:rsidRPr="00F12ADC">
        <w:rPr>
          <w:rFonts w:ascii="Calibri" w:hAnsi="Calibri" w:cs="Calibri"/>
        </w:rPr>
        <w:t xml:space="preserve"> je</w:t>
      </w:r>
      <w:r w:rsidRPr="00F12ADC">
        <w:rPr>
          <w:rFonts w:ascii="Calibri" w:hAnsi="Calibri" w:cs="Calibri"/>
        </w:rPr>
        <w:t xml:space="preserve"> osnovala Dječji vrtić „</w:t>
      </w:r>
      <w:proofErr w:type="spellStart"/>
      <w:r w:rsidRPr="00F12ADC">
        <w:rPr>
          <w:rFonts w:ascii="Calibri" w:hAnsi="Calibri" w:cs="Calibri"/>
        </w:rPr>
        <w:t>Orkulice</w:t>
      </w:r>
      <w:proofErr w:type="spellEnd"/>
      <w:r w:rsidRPr="00F12ADC">
        <w:rPr>
          <w:rFonts w:ascii="Calibri" w:hAnsi="Calibri" w:cs="Calibri"/>
        </w:rPr>
        <w:t>“ sa sjedištem u Salima.  Zapošljava četiri odgojiteljice na neodređeno vrijeme</w:t>
      </w:r>
      <w:r w:rsidR="0023359B" w:rsidRPr="00F12ADC">
        <w:rPr>
          <w:rFonts w:ascii="Calibri" w:hAnsi="Calibri" w:cs="Calibri"/>
        </w:rPr>
        <w:t xml:space="preserve"> sa punim radnim vremenom</w:t>
      </w:r>
      <w:r w:rsidR="005D0311" w:rsidRPr="00F12ADC">
        <w:rPr>
          <w:rFonts w:ascii="Calibri" w:hAnsi="Calibri" w:cs="Calibri"/>
        </w:rPr>
        <w:t xml:space="preserve"> i</w:t>
      </w:r>
      <w:r w:rsidR="0023359B" w:rsidRPr="00F12ADC">
        <w:rPr>
          <w:rFonts w:ascii="Calibri" w:hAnsi="Calibri" w:cs="Calibri"/>
        </w:rPr>
        <w:t xml:space="preserve"> jednu  pripravnicu</w:t>
      </w:r>
      <w:r w:rsidR="003A644D" w:rsidRPr="00F12ADC">
        <w:rPr>
          <w:rFonts w:ascii="Calibri" w:hAnsi="Calibri" w:cs="Calibri"/>
        </w:rPr>
        <w:t xml:space="preserve">. Tijekom godine, </w:t>
      </w:r>
      <w:r w:rsidR="005D0311" w:rsidRPr="00F12ADC">
        <w:rPr>
          <w:rFonts w:ascii="Calibri" w:hAnsi="Calibri" w:cs="Calibri"/>
        </w:rPr>
        <w:t xml:space="preserve">uglavnom </w:t>
      </w:r>
      <w:r w:rsidR="003A644D" w:rsidRPr="00F12ADC">
        <w:rPr>
          <w:rFonts w:ascii="Calibri" w:hAnsi="Calibri" w:cs="Calibri"/>
        </w:rPr>
        <w:t xml:space="preserve">zbog trenutne situacije sa </w:t>
      </w:r>
      <w:proofErr w:type="spellStart"/>
      <w:r w:rsidR="003A644D" w:rsidRPr="00F12ADC">
        <w:rPr>
          <w:rFonts w:ascii="Calibri" w:hAnsi="Calibri" w:cs="Calibri"/>
        </w:rPr>
        <w:t>Covid</w:t>
      </w:r>
      <w:r w:rsidR="005D0311" w:rsidRPr="00F12ADC">
        <w:rPr>
          <w:rFonts w:ascii="Calibri" w:hAnsi="Calibri" w:cs="Calibri"/>
        </w:rPr>
        <w:t>om</w:t>
      </w:r>
      <w:proofErr w:type="spellEnd"/>
      <w:r w:rsidR="003A644D" w:rsidRPr="00F12ADC">
        <w:rPr>
          <w:rFonts w:ascii="Calibri" w:hAnsi="Calibri" w:cs="Calibri"/>
        </w:rPr>
        <w:t>, još pet djelatnica je radilo na određeno vrijeme  kao zamjene</w:t>
      </w:r>
      <w:r w:rsidR="005D0311" w:rsidRPr="00F12ADC">
        <w:rPr>
          <w:rFonts w:ascii="Calibri" w:hAnsi="Calibri" w:cs="Calibri"/>
        </w:rPr>
        <w:t>, a</w:t>
      </w:r>
      <w:r w:rsidR="003A644D" w:rsidRPr="00F12ADC">
        <w:rPr>
          <w:rFonts w:ascii="Calibri" w:hAnsi="Calibri" w:cs="Calibri"/>
        </w:rPr>
        <w:t xml:space="preserve"> zbog korištenja bolovanja </w:t>
      </w:r>
      <w:r w:rsidR="005D0311" w:rsidRPr="00F12ADC">
        <w:rPr>
          <w:rFonts w:ascii="Calibri" w:hAnsi="Calibri" w:cs="Calibri"/>
        </w:rPr>
        <w:t>stalnozaposlenih djelatnica.</w:t>
      </w:r>
      <w:r w:rsidRPr="00F12ADC">
        <w:rPr>
          <w:rFonts w:ascii="Calibri" w:hAnsi="Calibri" w:cs="Calibri"/>
        </w:rPr>
        <w:t xml:space="preserve"> Manjim dijelom se financira naplat</w:t>
      </w:r>
      <w:r w:rsidR="004E60F5" w:rsidRPr="00F12ADC">
        <w:rPr>
          <w:rFonts w:ascii="Calibri" w:hAnsi="Calibri" w:cs="Calibri"/>
        </w:rPr>
        <w:t>om</w:t>
      </w:r>
      <w:r w:rsidRPr="00F12ADC">
        <w:rPr>
          <w:rFonts w:ascii="Calibri" w:hAnsi="Calibri" w:cs="Calibri"/>
        </w:rPr>
        <w:t xml:space="preserve"> obavljanja poslova vlastite djelatnosti, a najvećim </w:t>
      </w:r>
      <w:r w:rsidRPr="004E60F5">
        <w:rPr>
          <w:rFonts w:ascii="Calibri" w:hAnsi="Calibri" w:cs="Calibri"/>
        </w:rPr>
        <w:t>dijelom financiranj</w:t>
      </w:r>
      <w:r w:rsidR="004E60F5" w:rsidRPr="004E60F5">
        <w:rPr>
          <w:rFonts w:ascii="Calibri" w:hAnsi="Calibri" w:cs="Calibri"/>
        </w:rPr>
        <w:t>em</w:t>
      </w:r>
      <w:r w:rsidRPr="004E60F5">
        <w:rPr>
          <w:rFonts w:ascii="Calibri" w:hAnsi="Calibri" w:cs="Calibri"/>
        </w:rPr>
        <w:t xml:space="preserve"> rashoda poslovanja od strane osnivača Općine Sali. Proračunski korisnik obavlja djelatnost predškolskog odgoja i nije obveznik PDV-a. </w:t>
      </w:r>
    </w:p>
    <w:p w14:paraId="077EAE51" w14:textId="188B150E" w:rsidR="00D5337A" w:rsidRPr="004E60F5" w:rsidRDefault="00D5337A" w:rsidP="00D5337A">
      <w:pPr>
        <w:jc w:val="both"/>
        <w:rPr>
          <w:rFonts w:ascii="Calibri" w:hAnsi="Calibri" w:cs="Calibri"/>
        </w:rPr>
      </w:pPr>
      <w:r w:rsidRPr="004E60F5">
        <w:rPr>
          <w:rFonts w:ascii="Calibri" w:hAnsi="Calibri" w:cs="Calibri"/>
        </w:rPr>
        <w:t>Izvještaji o prihodima i rashodima, primicima i izdacima iskazani su za razdoblje od 01. siječnja do 31. prosinca 202</w:t>
      </w:r>
      <w:r w:rsidR="004E60F5" w:rsidRPr="004E60F5">
        <w:rPr>
          <w:rFonts w:ascii="Calibri" w:hAnsi="Calibri" w:cs="Calibri"/>
        </w:rPr>
        <w:t>1</w:t>
      </w:r>
      <w:r w:rsidRPr="004E60F5">
        <w:rPr>
          <w:rFonts w:ascii="Calibri" w:hAnsi="Calibri" w:cs="Calibri"/>
        </w:rPr>
        <w:t xml:space="preserve">. godine, a dobiveni su iz Glavne knjige proračunskog korisnika izrađene u programu </w:t>
      </w:r>
      <w:proofErr w:type="spellStart"/>
      <w:r w:rsidRPr="004E60F5">
        <w:rPr>
          <w:rFonts w:ascii="Calibri" w:hAnsi="Calibri" w:cs="Calibri"/>
        </w:rPr>
        <w:t>Synesis</w:t>
      </w:r>
      <w:proofErr w:type="spellEnd"/>
      <w:r w:rsidRPr="004E60F5">
        <w:rPr>
          <w:rFonts w:ascii="Calibri" w:hAnsi="Calibri" w:cs="Calibri"/>
        </w:rPr>
        <w:t xml:space="preserve">. </w:t>
      </w:r>
    </w:p>
    <w:p w14:paraId="21F217FE" w14:textId="77777777" w:rsidR="00D5337A" w:rsidRPr="004E60F5" w:rsidRDefault="00D5337A" w:rsidP="00D5337A">
      <w:pPr>
        <w:jc w:val="both"/>
        <w:rPr>
          <w:rFonts w:ascii="Calibri" w:hAnsi="Calibri" w:cs="Calibri"/>
        </w:rPr>
      </w:pPr>
      <w:r w:rsidRPr="004E60F5">
        <w:rPr>
          <w:rFonts w:ascii="Calibri" w:hAnsi="Calibri" w:cs="Calibri"/>
        </w:rPr>
        <w:t>Poslovanje Dječjeg vrtića „</w:t>
      </w:r>
      <w:proofErr w:type="spellStart"/>
      <w:r w:rsidRPr="004E60F5">
        <w:rPr>
          <w:rFonts w:ascii="Calibri" w:hAnsi="Calibri" w:cs="Calibri"/>
        </w:rPr>
        <w:t>Orkulice</w:t>
      </w:r>
      <w:proofErr w:type="spellEnd"/>
      <w:r w:rsidRPr="004E60F5">
        <w:rPr>
          <w:rFonts w:ascii="Calibri" w:hAnsi="Calibri" w:cs="Calibri"/>
        </w:rPr>
        <w:t>“ obavlja se preko vlastitih računa, otvorenih u OTP banci, IBAN:1224070001100124755 i Erste banci, IBAN:1024020061100886798.</w:t>
      </w:r>
    </w:p>
    <w:p w14:paraId="59F4ADF6" w14:textId="77777777" w:rsidR="002C6EC1" w:rsidRPr="009E0E71" w:rsidRDefault="002C6EC1" w:rsidP="002C6EC1">
      <w:pPr>
        <w:spacing w:after="0"/>
        <w:jc w:val="center"/>
        <w:rPr>
          <w:rFonts w:cstheme="minorHAnsi"/>
          <w:b/>
        </w:rPr>
      </w:pPr>
      <w:r w:rsidRPr="009E0E71">
        <w:rPr>
          <w:rFonts w:cstheme="minorHAnsi"/>
          <w:b/>
        </w:rPr>
        <w:t>Zakonodavni okvir</w:t>
      </w:r>
    </w:p>
    <w:p w14:paraId="1AC2AD5B" w14:textId="77777777" w:rsidR="002C6EC1" w:rsidRPr="009E0E71" w:rsidRDefault="002C6EC1" w:rsidP="002C6EC1">
      <w:pPr>
        <w:pStyle w:val="Odlomakpopisa"/>
        <w:numPr>
          <w:ilvl w:val="0"/>
          <w:numId w:val="1"/>
        </w:numPr>
        <w:jc w:val="both"/>
        <w:rPr>
          <w:rFonts w:asciiTheme="minorHAnsi" w:hAnsiTheme="minorHAnsi" w:cstheme="minorHAnsi"/>
          <w:sz w:val="22"/>
          <w:szCs w:val="22"/>
        </w:rPr>
      </w:pPr>
      <w:r w:rsidRPr="009E0E71">
        <w:rPr>
          <w:rFonts w:asciiTheme="minorHAnsi" w:hAnsiTheme="minorHAnsi" w:cstheme="minorHAnsi"/>
          <w:sz w:val="22"/>
          <w:szCs w:val="22"/>
        </w:rPr>
        <w:t>Zakon o proračunu (NN 87/08, 136/12 i 15/15)</w:t>
      </w:r>
    </w:p>
    <w:p w14:paraId="3981409E" w14:textId="77777777" w:rsidR="002C6EC1" w:rsidRPr="009E1159" w:rsidRDefault="002C6EC1" w:rsidP="002C6EC1">
      <w:pPr>
        <w:pStyle w:val="Odlomakpopisa"/>
        <w:numPr>
          <w:ilvl w:val="0"/>
          <w:numId w:val="1"/>
        </w:numPr>
        <w:jc w:val="both"/>
        <w:rPr>
          <w:rFonts w:asciiTheme="minorHAnsi" w:hAnsiTheme="minorHAnsi" w:cstheme="minorHAnsi"/>
          <w:sz w:val="22"/>
          <w:szCs w:val="22"/>
        </w:rPr>
      </w:pPr>
      <w:r w:rsidRPr="009E0E71">
        <w:rPr>
          <w:rFonts w:asciiTheme="minorHAnsi" w:hAnsiTheme="minorHAnsi" w:cstheme="minorHAnsi"/>
          <w:sz w:val="22"/>
          <w:szCs w:val="22"/>
        </w:rPr>
        <w:t>Pravilnik o financijskom izvještavanju u proračunskom računovodstvu (NN 3/15, 93/15, 135/15, 2/17, 38/17, 112/18, 126/19, 145/20 i 32/21)</w:t>
      </w:r>
    </w:p>
    <w:p w14:paraId="16F6F18A" w14:textId="77777777" w:rsidR="00D5337A" w:rsidRPr="009E1159" w:rsidRDefault="00D5337A" w:rsidP="00D5337A">
      <w:pPr>
        <w:spacing w:after="0"/>
        <w:jc w:val="both"/>
        <w:rPr>
          <w:rFonts w:ascii="Calibri" w:hAnsi="Calibri" w:cs="Calibri"/>
        </w:rPr>
      </w:pPr>
    </w:p>
    <w:p w14:paraId="1A9CE7DE" w14:textId="2E98CEF5" w:rsidR="00D5337A" w:rsidRPr="009E1159" w:rsidRDefault="00D5337A" w:rsidP="00D5337A">
      <w:pPr>
        <w:spacing w:after="0"/>
        <w:jc w:val="center"/>
        <w:rPr>
          <w:rFonts w:ascii="Calibri" w:hAnsi="Calibri" w:cs="Calibri"/>
          <w:b/>
        </w:rPr>
      </w:pPr>
      <w:r w:rsidRPr="009E1159">
        <w:rPr>
          <w:rFonts w:ascii="Calibri" w:hAnsi="Calibri" w:cs="Calibri"/>
          <w:b/>
        </w:rPr>
        <w:t>Bilješke uz Izvještaj o prihodima i rashodima, primicima i izdacima:</w:t>
      </w:r>
    </w:p>
    <w:p w14:paraId="1077F3FC" w14:textId="747C77E6" w:rsidR="00D5337A" w:rsidRPr="009E1159" w:rsidRDefault="00D5337A" w:rsidP="00D5337A">
      <w:pPr>
        <w:spacing w:after="0"/>
        <w:jc w:val="both"/>
        <w:rPr>
          <w:rFonts w:ascii="Calibri" w:hAnsi="Calibri" w:cs="Calibri"/>
          <w:bCs/>
        </w:rPr>
      </w:pPr>
      <w:r w:rsidRPr="009E1159">
        <w:rPr>
          <w:rFonts w:ascii="Calibri" w:hAnsi="Calibri" w:cs="Calibri"/>
          <w:bCs/>
        </w:rPr>
        <w:t>U 202</w:t>
      </w:r>
      <w:r w:rsidR="002C6EC1" w:rsidRPr="009E1159">
        <w:rPr>
          <w:rFonts w:ascii="Calibri" w:hAnsi="Calibri" w:cs="Calibri"/>
          <w:bCs/>
        </w:rPr>
        <w:t>1</w:t>
      </w:r>
      <w:r w:rsidRPr="009E1159">
        <w:rPr>
          <w:rFonts w:ascii="Calibri" w:hAnsi="Calibri" w:cs="Calibri"/>
          <w:bCs/>
        </w:rPr>
        <w:t>. godini Dječji vrtić „</w:t>
      </w:r>
      <w:proofErr w:type="spellStart"/>
      <w:r w:rsidRPr="009E1159">
        <w:rPr>
          <w:rFonts w:ascii="Calibri" w:hAnsi="Calibri" w:cs="Calibri"/>
          <w:bCs/>
        </w:rPr>
        <w:t>Orkulice</w:t>
      </w:r>
      <w:proofErr w:type="spellEnd"/>
      <w:r w:rsidRPr="009E1159">
        <w:rPr>
          <w:rFonts w:ascii="Calibri" w:hAnsi="Calibri" w:cs="Calibri"/>
          <w:bCs/>
        </w:rPr>
        <w:t xml:space="preserve">“ je ostvario </w:t>
      </w:r>
      <w:r w:rsidR="002C6EC1" w:rsidRPr="009E1159">
        <w:rPr>
          <w:rFonts w:ascii="Calibri" w:hAnsi="Calibri" w:cs="Calibri"/>
          <w:bCs/>
        </w:rPr>
        <w:t>734.888</w:t>
      </w:r>
      <w:r w:rsidRPr="009E1159">
        <w:rPr>
          <w:rFonts w:ascii="Calibri" w:hAnsi="Calibri" w:cs="Calibri"/>
          <w:bCs/>
        </w:rPr>
        <w:t xml:space="preserve"> kunu prihoda poslovanja, što je za </w:t>
      </w:r>
      <w:r w:rsidR="002C6EC1" w:rsidRPr="009E1159">
        <w:rPr>
          <w:rFonts w:ascii="Calibri" w:hAnsi="Calibri" w:cs="Calibri"/>
          <w:bCs/>
        </w:rPr>
        <w:t>23,5</w:t>
      </w:r>
      <w:r w:rsidRPr="009E1159">
        <w:rPr>
          <w:rFonts w:ascii="Calibri" w:hAnsi="Calibri" w:cs="Calibri"/>
          <w:bCs/>
        </w:rPr>
        <w:t>% više od protekle godine.</w:t>
      </w:r>
      <w:r w:rsidR="002C6EC1" w:rsidRPr="009E1159">
        <w:rPr>
          <w:rFonts w:ascii="Calibri" w:hAnsi="Calibri" w:cs="Calibri"/>
          <w:bCs/>
        </w:rPr>
        <w:t xml:space="preserve"> Povećanje se najvećim dijelom odnosi na uplatu sredstava od HZZ-a za rad pripravnice</w:t>
      </w:r>
      <w:r w:rsidR="009E1159" w:rsidRPr="009E1159">
        <w:rPr>
          <w:rFonts w:ascii="Calibri" w:hAnsi="Calibri" w:cs="Calibri"/>
          <w:bCs/>
        </w:rPr>
        <w:t xml:space="preserve"> koji će biti utrošeni </w:t>
      </w:r>
      <w:r w:rsidR="009C176D">
        <w:rPr>
          <w:rFonts w:ascii="Calibri" w:hAnsi="Calibri" w:cs="Calibri"/>
          <w:bCs/>
        </w:rPr>
        <w:t>t</w:t>
      </w:r>
      <w:r w:rsidR="009E1159" w:rsidRPr="009E1159">
        <w:rPr>
          <w:rFonts w:ascii="Calibri" w:hAnsi="Calibri" w:cs="Calibri"/>
          <w:bCs/>
        </w:rPr>
        <w:t>ijekom 2022. godine.</w:t>
      </w:r>
    </w:p>
    <w:p w14:paraId="6E9C9073" w14:textId="77777777" w:rsidR="009E1159" w:rsidRPr="009E1159" w:rsidRDefault="009E1159" w:rsidP="00D5337A">
      <w:pPr>
        <w:spacing w:after="0"/>
        <w:jc w:val="both"/>
        <w:rPr>
          <w:rFonts w:ascii="Calibri" w:hAnsi="Calibri" w:cs="Calibri"/>
          <w:bCs/>
        </w:rPr>
      </w:pPr>
    </w:p>
    <w:p w14:paraId="64D7D732" w14:textId="77777777" w:rsidR="00D5337A" w:rsidRPr="0017321F" w:rsidRDefault="00D5337A" w:rsidP="00D5337A">
      <w:pPr>
        <w:spacing w:after="0"/>
        <w:jc w:val="center"/>
        <w:rPr>
          <w:rFonts w:ascii="Calibri" w:hAnsi="Calibri" w:cs="Calibri"/>
        </w:rPr>
      </w:pPr>
      <w:r w:rsidRPr="0017321F">
        <w:rPr>
          <w:rFonts w:ascii="Calibri" w:hAnsi="Calibri" w:cs="Calibri"/>
        </w:rPr>
        <w:t>Bilješka 1.</w:t>
      </w:r>
    </w:p>
    <w:p w14:paraId="47679266" w14:textId="77777777" w:rsidR="00D5337A" w:rsidRPr="009E1159" w:rsidRDefault="00D5337A" w:rsidP="00D5337A">
      <w:pPr>
        <w:spacing w:after="0"/>
        <w:jc w:val="center"/>
        <w:rPr>
          <w:rFonts w:ascii="Calibri" w:hAnsi="Calibri" w:cs="Calibri"/>
        </w:rPr>
      </w:pPr>
      <w:r w:rsidRPr="00EF27BD">
        <w:rPr>
          <w:rFonts w:ascii="Calibri" w:hAnsi="Calibri" w:cs="Calibri"/>
        </w:rPr>
        <w:t xml:space="preserve">AOP 055 – Tekuće </w:t>
      </w:r>
      <w:r w:rsidRPr="009E1159">
        <w:rPr>
          <w:rFonts w:ascii="Calibri" w:hAnsi="Calibri" w:cs="Calibri"/>
        </w:rPr>
        <w:t>pomoći proračunu iz drugih proračuna</w:t>
      </w:r>
    </w:p>
    <w:p w14:paraId="6B6828D8" w14:textId="4E9AE600" w:rsidR="00D5337A" w:rsidRDefault="00D5337A" w:rsidP="00D5337A">
      <w:pPr>
        <w:pStyle w:val="Odlomakpopisa"/>
        <w:ind w:left="0"/>
        <w:jc w:val="both"/>
        <w:rPr>
          <w:rFonts w:ascii="Calibri" w:hAnsi="Calibri" w:cs="Calibri"/>
          <w:sz w:val="22"/>
          <w:szCs w:val="22"/>
        </w:rPr>
      </w:pPr>
      <w:r w:rsidRPr="009E1159">
        <w:rPr>
          <w:rFonts w:ascii="Calibri" w:hAnsi="Calibri" w:cs="Calibri"/>
          <w:sz w:val="22"/>
          <w:szCs w:val="22"/>
        </w:rPr>
        <w:t xml:space="preserve">Od Ministarstva Znanosti i obrazovanja primljena su namjenska sredstva za sufinanciranje javnih potreba u dječjim vrtićima, a za program </w:t>
      </w:r>
      <w:proofErr w:type="spellStart"/>
      <w:r w:rsidRPr="009E1159">
        <w:rPr>
          <w:rFonts w:ascii="Calibri" w:hAnsi="Calibri" w:cs="Calibri"/>
          <w:sz w:val="22"/>
          <w:szCs w:val="22"/>
        </w:rPr>
        <w:t>predškole</w:t>
      </w:r>
      <w:proofErr w:type="spellEnd"/>
      <w:r w:rsidRPr="009E1159">
        <w:rPr>
          <w:rFonts w:ascii="Calibri" w:hAnsi="Calibri" w:cs="Calibri"/>
          <w:sz w:val="22"/>
          <w:szCs w:val="22"/>
        </w:rPr>
        <w:t xml:space="preserve"> u iznosu od </w:t>
      </w:r>
      <w:r w:rsidR="009E1159" w:rsidRPr="009E1159">
        <w:rPr>
          <w:rFonts w:ascii="Calibri" w:hAnsi="Calibri" w:cs="Calibri"/>
          <w:sz w:val="22"/>
          <w:szCs w:val="22"/>
        </w:rPr>
        <w:t>800</w:t>
      </w:r>
      <w:r w:rsidRPr="009E1159">
        <w:rPr>
          <w:rFonts w:ascii="Calibri" w:hAnsi="Calibri" w:cs="Calibri"/>
          <w:sz w:val="22"/>
          <w:szCs w:val="22"/>
        </w:rPr>
        <w:t xml:space="preserve"> kuna.</w:t>
      </w:r>
    </w:p>
    <w:p w14:paraId="27765C01" w14:textId="02B44937" w:rsidR="00FE3772" w:rsidRDefault="00FE3772" w:rsidP="00D5337A">
      <w:pPr>
        <w:pStyle w:val="Odlomakpopisa"/>
        <w:ind w:left="0"/>
        <w:jc w:val="both"/>
        <w:rPr>
          <w:rFonts w:ascii="Calibri" w:hAnsi="Calibri" w:cs="Calibri"/>
          <w:sz w:val="22"/>
          <w:szCs w:val="22"/>
        </w:rPr>
      </w:pPr>
    </w:p>
    <w:p w14:paraId="596974F5" w14:textId="26CED931" w:rsidR="00FE3772" w:rsidRPr="0017321F" w:rsidRDefault="00FE3772" w:rsidP="00FE3772">
      <w:pPr>
        <w:pStyle w:val="Odlomakpopisa"/>
        <w:ind w:left="0"/>
        <w:jc w:val="center"/>
        <w:rPr>
          <w:rFonts w:ascii="Calibri" w:hAnsi="Calibri" w:cs="Calibri"/>
          <w:sz w:val="22"/>
          <w:szCs w:val="22"/>
        </w:rPr>
      </w:pPr>
      <w:r w:rsidRPr="0017321F">
        <w:rPr>
          <w:rFonts w:ascii="Calibri" w:hAnsi="Calibri" w:cs="Calibri"/>
          <w:sz w:val="22"/>
          <w:szCs w:val="22"/>
        </w:rPr>
        <w:t>Bilješka 2.</w:t>
      </w:r>
    </w:p>
    <w:p w14:paraId="686EE179" w14:textId="7F12F654" w:rsidR="00FE3772" w:rsidRDefault="00FE3772" w:rsidP="00FE3772">
      <w:pPr>
        <w:pStyle w:val="Odlomakpopisa"/>
        <w:ind w:left="0"/>
        <w:jc w:val="center"/>
        <w:rPr>
          <w:rFonts w:ascii="Calibri" w:hAnsi="Calibri" w:cs="Calibri"/>
          <w:sz w:val="22"/>
          <w:szCs w:val="22"/>
        </w:rPr>
      </w:pPr>
      <w:r w:rsidRPr="00EF27BD">
        <w:rPr>
          <w:rFonts w:ascii="Calibri" w:hAnsi="Calibri" w:cs="Calibri"/>
          <w:sz w:val="22"/>
          <w:szCs w:val="22"/>
        </w:rPr>
        <w:t xml:space="preserve">AOP – 070 Tekuće </w:t>
      </w:r>
      <w:r>
        <w:rPr>
          <w:rFonts w:ascii="Calibri" w:hAnsi="Calibri" w:cs="Calibri"/>
          <w:sz w:val="22"/>
          <w:szCs w:val="22"/>
        </w:rPr>
        <w:t>pomoći temeljem prijenosa EU sredstava</w:t>
      </w:r>
    </w:p>
    <w:p w14:paraId="1580FF49" w14:textId="6D88A88E" w:rsidR="00FE3772" w:rsidRPr="009E1159" w:rsidRDefault="00FE3772" w:rsidP="00D5337A">
      <w:pPr>
        <w:pStyle w:val="Odlomakpopisa"/>
        <w:ind w:left="0"/>
        <w:jc w:val="both"/>
        <w:rPr>
          <w:rFonts w:ascii="Calibri" w:hAnsi="Calibri" w:cs="Calibri"/>
          <w:sz w:val="22"/>
          <w:szCs w:val="22"/>
        </w:rPr>
      </w:pPr>
      <w:r>
        <w:rPr>
          <w:rFonts w:ascii="Calibri" w:hAnsi="Calibri" w:cs="Calibri"/>
          <w:sz w:val="22"/>
          <w:szCs w:val="22"/>
        </w:rPr>
        <w:t xml:space="preserve">Primljena sredstva odnose se na uplatu </w:t>
      </w:r>
      <w:r w:rsidR="009B6471">
        <w:rPr>
          <w:rFonts w:ascii="Calibri" w:hAnsi="Calibri" w:cs="Calibri"/>
          <w:sz w:val="22"/>
          <w:szCs w:val="22"/>
        </w:rPr>
        <w:t>HZZ-a kao dodijeljenu državnu potporu za sufinanciranje zapošljavanja za stjecanje prvog radnog iskustva-pripravništva. Dodijeljena potpora je sufinancirana sredstvima Europske unije iz Europskog socijalnog fonda.</w:t>
      </w:r>
    </w:p>
    <w:p w14:paraId="15F3E5DA" w14:textId="77777777" w:rsidR="00D5337A" w:rsidRPr="009E1159" w:rsidRDefault="00D5337A" w:rsidP="00D5337A">
      <w:pPr>
        <w:pStyle w:val="Odlomakpopisa"/>
        <w:ind w:left="0"/>
        <w:rPr>
          <w:rFonts w:ascii="Calibri" w:hAnsi="Calibri" w:cs="Calibri"/>
          <w:sz w:val="22"/>
          <w:szCs w:val="22"/>
        </w:rPr>
      </w:pPr>
    </w:p>
    <w:p w14:paraId="48C58794" w14:textId="19F5F329" w:rsidR="00D5337A" w:rsidRPr="00EF27BD" w:rsidRDefault="00D5337A" w:rsidP="00D5337A">
      <w:pPr>
        <w:spacing w:after="0"/>
        <w:jc w:val="center"/>
        <w:rPr>
          <w:rFonts w:ascii="Calibri" w:hAnsi="Calibri" w:cs="Calibri"/>
        </w:rPr>
      </w:pPr>
      <w:r w:rsidRPr="00EF27BD">
        <w:rPr>
          <w:rFonts w:ascii="Calibri" w:hAnsi="Calibri" w:cs="Calibri"/>
        </w:rPr>
        <w:t xml:space="preserve">Bilješka </w:t>
      </w:r>
      <w:r w:rsidR="00B125D3" w:rsidRPr="00EF27BD">
        <w:rPr>
          <w:rFonts w:ascii="Calibri" w:hAnsi="Calibri" w:cs="Calibri"/>
        </w:rPr>
        <w:t>3</w:t>
      </w:r>
      <w:r w:rsidRPr="00EF27BD">
        <w:rPr>
          <w:rFonts w:ascii="Calibri" w:hAnsi="Calibri" w:cs="Calibri"/>
        </w:rPr>
        <w:t>.</w:t>
      </w:r>
    </w:p>
    <w:p w14:paraId="5CEF191F" w14:textId="470D0645" w:rsidR="00D5337A" w:rsidRPr="00B125D3" w:rsidRDefault="00D5337A" w:rsidP="00D5337A">
      <w:pPr>
        <w:spacing w:after="0"/>
        <w:jc w:val="center"/>
        <w:rPr>
          <w:rFonts w:ascii="Calibri" w:hAnsi="Calibri" w:cs="Calibri"/>
        </w:rPr>
      </w:pPr>
      <w:r w:rsidRPr="00EF27BD">
        <w:rPr>
          <w:rFonts w:ascii="Calibri" w:hAnsi="Calibri" w:cs="Calibri"/>
        </w:rPr>
        <w:t>AOP 12</w:t>
      </w:r>
      <w:r w:rsidR="009B6471" w:rsidRPr="00EF27BD">
        <w:rPr>
          <w:rFonts w:ascii="Calibri" w:hAnsi="Calibri" w:cs="Calibri"/>
        </w:rPr>
        <w:t>2</w:t>
      </w:r>
      <w:r w:rsidRPr="00EF27BD">
        <w:rPr>
          <w:rFonts w:ascii="Calibri" w:hAnsi="Calibri" w:cs="Calibri"/>
        </w:rPr>
        <w:t xml:space="preserve"> </w:t>
      </w:r>
      <w:r w:rsidRPr="004E60F5">
        <w:rPr>
          <w:rFonts w:ascii="Calibri" w:hAnsi="Calibri" w:cs="Calibri"/>
          <w:color w:val="FF0000"/>
        </w:rPr>
        <w:t xml:space="preserve">– </w:t>
      </w:r>
      <w:r w:rsidRPr="00B125D3">
        <w:rPr>
          <w:rFonts w:ascii="Calibri" w:hAnsi="Calibri" w:cs="Calibri"/>
        </w:rPr>
        <w:t>Prihodi od pruženih usluga</w:t>
      </w:r>
    </w:p>
    <w:p w14:paraId="5BA3AABA" w14:textId="33AAAFB4" w:rsidR="00D5337A" w:rsidRPr="00B125D3" w:rsidRDefault="00D5337A" w:rsidP="00D5337A">
      <w:pPr>
        <w:jc w:val="both"/>
        <w:rPr>
          <w:rFonts w:ascii="Calibri" w:hAnsi="Calibri" w:cs="Calibri"/>
        </w:rPr>
      </w:pPr>
      <w:r w:rsidRPr="00B125D3">
        <w:rPr>
          <w:rFonts w:ascii="Calibri" w:hAnsi="Calibri" w:cs="Calibri"/>
        </w:rPr>
        <w:lastRenderedPageBreak/>
        <w:t>Dječji vrtić “</w:t>
      </w:r>
      <w:proofErr w:type="spellStart"/>
      <w:r w:rsidRPr="00B125D3">
        <w:rPr>
          <w:rFonts w:ascii="Calibri" w:hAnsi="Calibri" w:cs="Calibri"/>
        </w:rPr>
        <w:t>Orkulice</w:t>
      </w:r>
      <w:proofErr w:type="spellEnd"/>
      <w:r w:rsidRPr="00B125D3">
        <w:rPr>
          <w:rFonts w:ascii="Calibri" w:hAnsi="Calibri" w:cs="Calibri"/>
        </w:rPr>
        <w:t>“ u 202</w:t>
      </w:r>
      <w:r w:rsidR="009B6471" w:rsidRPr="00B125D3">
        <w:rPr>
          <w:rFonts w:ascii="Calibri" w:hAnsi="Calibri" w:cs="Calibri"/>
        </w:rPr>
        <w:t>1</w:t>
      </w:r>
      <w:r w:rsidRPr="00B125D3">
        <w:rPr>
          <w:rFonts w:ascii="Calibri" w:hAnsi="Calibri" w:cs="Calibri"/>
        </w:rPr>
        <w:t xml:space="preserve">. godini je ostvario prihode od obavljanja vlastite djelatnosti, u iznosu od </w:t>
      </w:r>
      <w:r w:rsidR="009B6471" w:rsidRPr="00B125D3">
        <w:rPr>
          <w:rFonts w:ascii="Calibri" w:hAnsi="Calibri" w:cs="Calibri"/>
        </w:rPr>
        <w:t>95</w:t>
      </w:r>
      <w:r w:rsidRPr="00B125D3">
        <w:rPr>
          <w:rFonts w:ascii="Calibri" w:hAnsi="Calibri" w:cs="Calibri"/>
        </w:rPr>
        <w:t>.</w:t>
      </w:r>
      <w:r w:rsidR="00B125D3" w:rsidRPr="00B125D3">
        <w:rPr>
          <w:rFonts w:ascii="Calibri" w:hAnsi="Calibri" w:cs="Calibri"/>
        </w:rPr>
        <w:t>040</w:t>
      </w:r>
      <w:r w:rsidRPr="00B125D3">
        <w:rPr>
          <w:rFonts w:ascii="Calibri" w:hAnsi="Calibri" w:cs="Calibri"/>
        </w:rPr>
        <w:t xml:space="preserve"> kuna, što je  za </w:t>
      </w:r>
      <w:r w:rsidR="00B125D3" w:rsidRPr="00B125D3">
        <w:rPr>
          <w:rFonts w:ascii="Calibri" w:hAnsi="Calibri" w:cs="Calibri"/>
        </w:rPr>
        <w:t>20</w:t>
      </w:r>
      <w:r w:rsidRPr="00B125D3">
        <w:rPr>
          <w:rFonts w:ascii="Calibri" w:hAnsi="Calibri" w:cs="Calibri"/>
        </w:rPr>
        <w:t xml:space="preserve">% </w:t>
      </w:r>
      <w:r w:rsidR="00B125D3" w:rsidRPr="00B125D3">
        <w:rPr>
          <w:rFonts w:ascii="Calibri" w:hAnsi="Calibri" w:cs="Calibri"/>
        </w:rPr>
        <w:t>više</w:t>
      </w:r>
      <w:r w:rsidRPr="00B125D3">
        <w:rPr>
          <w:rFonts w:ascii="Calibri" w:hAnsi="Calibri" w:cs="Calibri"/>
        </w:rPr>
        <w:t xml:space="preserve"> u odnosu na proteklu godinu, a čini 13% ukupnih prihoda poslovanja. </w:t>
      </w:r>
    </w:p>
    <w:p w14:paraId="00DE16D3" w14:textId="77777777" w:rsidR="00D5337A" w:rsidRPr="0017321F" w:rsidRDefault="00D5337A" w:rsidP="00D5337A">
      <w:pPr>
        <w:spacing w:after="0"/>
        <w:jc w:val="center"/>
        <w:rPr>
          <w:rFonts w:ascii="Calibri" w:hAnsi="Calibri" w:cs="Calibri"/>
        </w:rPr>
      </w:pPr>
      <w:r w:rsidRPr="0017321F">
        <w:rPr>
          <w:rFonts w:ascii="Calibri" w:hAnsi="Calibri" w:cs="Calibri"/>
        </w:rPr>
        <w:t>Bilješka 4.</w:t>
      </w:r>
    </w:p>
    <w:p w14:paraId="631E4D6E" w14:textId="2A554E96" w:rsidR="00D5337A" w:rsidRPr="00B125D3" w:rsidRDefault="00D5337A" w:rsidP="00D5337A">
      <w:pPr>
        <w:spacing w:after="0"/>
        <w:jc w:val="center"/>
        <w:rPr>
          <w:rFonts w:ascii="Calibri" w:hAnsi="Calibri" w:cs="Calibri"/>
        </w:rPr>
      </w:pPr>
      <w:r w:rsidRPr="00EF27BD">
        <w:rPr>
          <w:rFonts w:ascii="Calibri" w:hAnsi="Calibri" w:cs="Calibri"/>
        </w:rPr>
        <w:t>AOP 13</w:t>
      </w:r>
      <w:r w:rsidR="00EF27BD" w:rsidRPr="00EF27BD">
        <w:rPr>
          <w:rFonts w:ascii="Calibri" w:hAnsi="Calibri" w:cs="Calibri"/>
        </w:rPr>
        <w:t>0</w:t>
      </w:r>
      <w:r w:rsidRPr="00EF27BD">
        <w:rPr>
          <w:rFonts w:ascii="Calibri" w:hAnsi="Calibri" w:cs="Calibri"/>
        </w:rPr>
        <w:t xml:space="preserve"> </w:t>
      </w:r>
      <w:r w:rsidRPr="004E60F5">
        <w:rPr>
          <w:rFonts w:ascii="Calibri" w:hAnsi="Calibri" w:cs="Calibri"/>
          <w:color w:val="FF0000"/>
        </w:rPr>
        <w:t xml:space="preserve">– </w:t>
      </w:r>
      <w:r w:rsidRPr="00B125D3">
        <w:rPr>
          <w:rFonts w:ascii="Calibri" w:hAnsi="Calibri" w:cs="Calibri"/>
        </w:rPr>
        <w:t>Prihodi iz nadležnog proračuna za financiranje rashoda poslovanja</w:t>
      </w:r>
    </w:p>
    <w:p w14:paraId="1C8D5852" w14:textId="191E2D49" w:rsidR="00D5337A" w:rsidRPr="00860620" w:rsidRDefault="00D5337A" w:rsidP="00D5337A">
      <w:pPr>
        <w:spacing w:after="0"/>
        <w:jc w:val="both"/>
        <w:rPr>
          <w:rFonts w:ascii="Calibri" w:hAnsi="Calibri" w:cs="Calibri"/>
        </w:rPr>
      </w:pPr>
      <w:r w:rsidRPr="00860620">
        <w:rPr>
          <w:rFonts w:ascii="Calibri" w:hAnsi="Calibri" w:cs="Calibri"/>
        </w:rPr>
        <w:t>Općina Sali, kao osnivač Dječjeg vrtića „</w:t>
      </w:r>
      <w:proofErr w:type="spellStart"/>
      <w:r w:rsidRPr="00860620">
        <w:rPr>
          <w:rFonts w:ascii="Calibri" w:hAnsi="Calibri" w:cs="Calibri"/>
        </w:rPr>
        <w:t>Orkulice</w:t>
      </w:r>
      <w:proofErr w:type="spellEnd"/>
      <w:r w:rsidRPr="00860620">
        <w:rPr>
          <w:rFonts w:ascii="Calibri" w:hAnsi="Calibri" w:cs="Calibri"/>
        </w:rPr>
        <w:t xml:space="preserve">“ financira rashode za zaposlene </w:t>
      </w:r>
      <w:r w:rsidR="009C176D">
        <w:rPr>
          <w:rFonts w:ascii="Calibri" w:hAnsi="Calibri" w:cs="Calibri"/>
        </w:rPr>
        <w:t>i</w:t>
      </w:r>
      <w:r w:rsidR="00B125D3" w:rsidRPr="00860620">
        <w:rPr>
          <w:rFonts w:ascii="Calibri" w:hAnsi="Calibri" w:cs="Calibri"/>
        </w:rPr>
        <w:t xml:space="preserve"> uslugu</w:t>
      </w:r>
      <w:r w:rsidRPr="00860620">
        <w:rPr>
          <w:rFonts w:ascii="Calibri" w:hAnsi="Calibri" w:cs="Calibri"/>
        </w:rPr>
        <w:t xml:space="preserve"> čišćenj</w:t>
      </w:r>
      <w:r w:rsidR="00B125D3" w:rsidRPr="00860620">
        <w:rPr>
          <w:rFonts w:ascii="Calibri" w:hAnsi="Calibri" w:cs="Calibri"/>
        </w:rPr>
        <w:t>a</w:t>
      </w:r>
      <w:r w:rsidRPr="00860620">
        <w:rPr>
          <w:rFonts w:ascii="Calibri" w:hAnsi="Calibri" w:cs="Calibri"/>
        </w:rPr>
        <w:t xml:space="preserve"> prostorija vrtića. Iz proračuna Općine Sali za financiranje rashoda poslovanja vrtića, u 202</w:t>
      </w:r>
      <w:r w:rsidR="00B652EC" w:rsidRPr="00860620">
        <w:rPr>
          <w:rFonts w:ascii="Calibri" w:hAnsi="Calibri" w:cs="Calibri"/>
        </w:rPr>
        <w:t>1</w:t>
      </w:r>
      <w:r w:rsidRPr="00860620">
        <w:rPr>
          <w:rFonts w:ascii="Calibri" w:hAnsi="Calibri" w:cs="Calibri"/>
        </w:rPr>
        <w:t xml:space="preserve">. godini je uplaćeno </w:t>
      </w:r>
      <w:r w:rsidR="00B652EC" w:rsidRPr="00860620">
        <w:rPr>
          <w:rFonts w:ascii="Calibri" w:hAnsi="Calibri" w:cs="Calibri"/>
        </w:rPr>
        <w:t>558.898</w:t>
      </w:r>
      <w:r w:rsidRPr="00860620">
        <w:rPr>
          <w:rFonts w:ascii="Calibri" w:hAnsi="Calibri" w:cs="Calibri"/>
        </w:rPr>
        <w:t xml:space="preserve"> kuna, što je za </w:t>
      </w:r>
      <w:r w:rsidR="00B652EC" w:rsidRPr="00860620">
        <w:rPr>
          <w:rFonts w:ascii="Calibri" w:hAnsi="Calibri" w:cs="Calibri"/>
        </w:rPr>
        <w:t>10</w:t>
      </w:r>
      <w:r w:rsidRPr="00860620">
        <w:rPr>
          <w:rFonts w:ascii="Calibri" w:hAnsi="Calibri" w:cs="Calibri"/>
        </w:rPr>
        <w:t>% više od protekle godine. Od uplaćenog iznosa 9</w:t>
      </w:r>
      <w:r w:rsidR="001D0F22" w:rsidRPr="00860620">
        <w:rPr>
          <w:rFonts w:ascii="Calibri" w:hAnsi="Calibri" w:cs="Calibri"/>
        </w:rPr>
        <w:t>6</w:t>
      </w:r>
      <w:r w:rsidRPr="00860620">
        <w:rPr>
          <w:rFonts w:ascii="Calibri" w:hAnsi="Calibri" w:cs="Calibri"/>
        </w:rPr>
        <w:t xml:space="preserve">% otpada na financiranje plaća zaposlenica, </w:t>
      </w:r>
      <w:r w:rsidR="001D0F22" w:rsidRPr="00860620">
        <w:rPr>
          <w:rFonts w:ascii="Calibri" w:hAnsi="Calibri" w:cs="Calibri"/>
        </w:rPr>
        <w:t>2</w:t>
      </w:r>
      <w:r w:rsidRPr="00860620">
        <w:rPr>
          <w:rFonts w:ascii="Calibri" w:hAnsi="Calibri" w:cs="Calibri"/>
        </w:rPr>
        <w:t xml:space="preserve">% na </w:t>
      </w:r>
      <w:r w:rsidR="001D0F22" w:rsidRPr="00860620">
        <w:rPr>
          <w:rFonts w:ascii="Calibri" w:hAnsi="Calibri" w:cs="Calibri"/>
        </w:rPr>
        <w:t>ostal</w:t>
      </w:r>
      <w:r w:rsidR="00860620" w:rsidRPr="00860620">
        <w:rPr>
          <w:rFonts w:ascii="Calibri" w:hAnsi="Calibri" w:cs="Calibri"/>
        </w:rPr>
        <w:t>e</w:t>
      </w:r>
      <w:r w:rsidR="001D0F22" w:rsidRPr="00860620">
        <w:rPr>
          <w:rFonts w:ascii="Calibri" w:hAnsi="Calibri" w:cs="Calibri"/>
        </w:rPr>
        <w:t xml:space="preserve"> rashod</w:t>
      </w:r>
      <w:r w:rsidR="00860620" w:rsidRPr="00860620">
        <w:rPr>
          <w:rFonts w:ascii="Calibri" w:hAnsi="Calibri" w:cs="Calibri"/>
        </w:rPr>
        <w:t>e</w:t>
      </w:r>
      <w:r w:rsidRPr="00860620">
        <w:rPr>
          <w:rFonts w:ascii="Calibri" w:hAnsi="Calibri" w:cs="Calibri"/>
        </w:rPr>
        <w:t xml:space="preserve"> za zaposlene, te </w:t>
      </w:r>
      <w:r w:rsidR="001D0F22" w:rsidRPr="00860620">
        <w:rPr>
          <w:rFonts w:ascii="Calibri" w:hAnsi="Calibri" w:cs="Calibri"/>
        </w:rPr>
        <w:t>2</w:t>
      </w:r>
      <w:r w:rsidRPr="00860620">
        <w:rPr>
          <w:rFonts w:ascii="Calibri" w:hAnsi="Calibri" w:cs="Calibri"/>
        </w:rPr>
        <w:t>% na troškove čišćenje prostorija vrtića.</w:t>
      </w:r>
    </w:p>
    <w:p w14:paraId="04EFC5D2" w14:textId="77777777" w:rsidR="00D5337A" w:rsidRPr="004E60F5" w:rsidRDefault="00D5337A" w:rsidP="00D5337A">
      <w:pPr>
        <w:spacing w:after="0"/>
        <w:jc w:val="both"/>
        <w:rPr>
          <w:rFonts w:ascii="Calibri" w:hAnsi="Calibri" w:cs="Calibri"/>
          <w:color w:val="FF0000"/>
        </w:rPr>
      </w:pPr>
    </w:p>
    <w:p w14:paraId="69DCEAC4" w14:textId="2573EAFA" w:rsidR="00D5337A" w:rsidRPr="0017321F" w:rsidRDefault="00D5337A" w:rsidP="00D5337A">
      <w:pPr>
        <w:spacing w:after="0"/>
        <w:jc w:val="center"/>
        <w:rPr>
          <w:rFonts w:ascii="Calibri" w:hAnsi="Calibri" w:cs="Calibri"/>
        </w:rPr>
      </w:pPr>
      <w:r w:rsidRPr="0017321F">
        <w:rPr>
          <w:rFonts w:ascii="Calibri" w:hAnsi="Calibri" w:cs="Calibri"/>
        </w:rPr>
        <w:t xml:space="preserve">Bilješka </w:t>
      </w:r>
      <w:r w:rsidR="00860620" w:rsidRPr="0017321F">
        <w:rPr>
          <w:rFonts w:ascii="Calibri" w:hAnsi="Calibri" w:cs="Calibri"/>
        </w:rPr>
        <w:t>5</w:t>
      </w:r>
      <w:r w:rsidRPr="0017321F">
        <w:rPr>
          <w:rFonts w:ascii="Calibri" w:hAnsi="Calibri" w:cs="Calibri"/>
        </w:rPr>
        <w:t>.</w:t>
      </w:r>
    </w:p>
    <w:p w14:paraId="5B275F9B" w14:textId="6B55F27A" w:rsidR="00D5337A" w:rsidRPr="004E60F5" w:rsidRDefault="00D5337A" w:rsidP="00D5337A">
      <w:pPr>
        <w:spacing w:after="0"/>
        <w:jc w:val="center"/>
        <w:rPr>
          <w:rFonts w:ascii="Calibri" w:hAnsi="Calibri" w:cs="Calibri"/>
          <w:color w:val="FF0000"/>
        </w:rPr>
      </w:pPr>
      <w:r w:rsidRPr="00EF27BD">
        <w:rPr>
          <w:rFonts w:ascii="Calibri" w:hAnsi="Calibri" w:cs="Calibri"/>
        </w:rPr>
        <w:t>AOP 14</w:t>
      </w:r>
      <w:r w:rsidR="00E27583" w:rsidRPr="00EF27BD">
        <w:rPr>
          <w:rFonts w:ascii="Calibri" w:hAnsi="Calibri" w:cs="Calibri"/>
        </w:rPr>
        <w:t>7</w:t>
      </w:r>
      <w:r w:rsidRPr="00EF27BD">
        <w:rPr>
          <w:rFonts w:ascii="Calibri" w:hAnsi="Calibri" w:cs="Calibri"/>
        </w:rPr>
        <w:t xml:space="preserve"> – Rashodi </w:t>
      </w:r>
      <w:r w:rsidRPr="00860620">
        <w:rPr>
          <w:rFonts w:ascii="Calibri" w:hAnsi="Calibri" w:cs="Calibri"/>
        </w:rPr>
        <w:t>za zaposlene</w:t>
      </w:r>
    </w:p>
    <w:p w14:paraId="108BA78F" w14:textId="472289DC" w:rsidR="00D5337A" w:rsidRPr="008D5F0A" w:rsidRDefault="00D5337A" w:rsidP="00D5337A">
      <w:pPr>
        <w:spacing w:after="0"/>
        <w:jc w:val="both"/>
        <w:rPr>
          <w:rFonts w:ascii="Calibri" w:hAnsi="Calibri" w:cs="Calibri"/>
        </w:rPr>
      </w:pPr>
      <w:r w:rsidRPr="008D5F0A">
        <w:rPr>
          <w:rFonts w:ascii="Calibri" w:hAnsi="Calibri" w:cs="Calibri"/>
        </w:rPr>
        <w:t>Uvećani su u odnosu na proteklu godinu za 2</w:t>
      </w:r>
      <w:r w:rsidR="00E27583" w:rsidRPr="008D5F0A">
        <w:rPr>
          <w:rFonts w:ascii="Calibri" w:hAnsi="Calibri" w:cs="Calibri"/>
        </w:rPr>
        <w:t>0</w:t>
      </w:r>
      <w:r w:rsidRPr="008D5F0A">
        <w:rPr>
          <w:rFonts w:ascii="Calibri" w:hAnsi="Calibri" w:cs="Calibri"/>
        </w:rPr>
        <w:t>%, čine 8</w:t>
      </w:r>
      <w:r w:rsidR="00E27583" w:rsidRPr="008D5F0A">
        <w:rPr>
          <w:rFonts w:ascii="Calibri" w:hAnsi="Calibri" w:cs="Calibri"/>
        </w:rPr>
        <w:t>7</w:t>
      </w:r>
      <w:r w:rsidRPr="008D5F0A">
        <w:rPr>
          <w:rFonts w:ascii="Calibri" w:hAnsi="Calibri" w:cs="Calibri"/>
        </w:rPr>
        <w:t xml:space="preserve">% ukupnih rashoda poslovanja, a iznose </w:t>
      </w:r>
      <w:r w:rsidR="00E27583" w:rsidRPr="008D5F0A">
        <w:rPr>
          <w:rFonts w:ascii="Calibri" w:hAnsi="Calibri" w:cs="Calibri"/>
        </w:rPr>
        <w:t>593.485</w:t>
      </w:r>
      <w:r w:rsidRPr="008D5F0A">
        <w:rPr>
          <w:rFonts w:ascii="Calibri" w:hAnsi="Calibri" w:cs="Calibri"/>
        </w:rPr>
        <w:t xml:space="preserve"> kuna. Čine ih plaće za redovan rad zaposlenica,</w:t>
      </w:r>
      <w:r w:rsidR="00AB1113" w:rsidRPr="008D5F0A">
        <w:rPr>
          <w:rFonts w:ascii="Calibri" w:hAnsi="Calibri" w:cs="Calibri"/>
        </w:rPr>
        <w:t xml:space="preserve"> </w:t>
      </w:r>
      <w:r w:rsidRPr="008D5F0A">
        <w:rPr>
          <w:rFonts w:ascii="Calibri" w:hAnsi="Calibri" w:cs="Calibri"/>
        </w:rPr>
        <w:t xml:space="preserve">doprinosi iz </w:t>
      </w:r>
      <w:r w:rsidR="009C176D">
        <w:rPr>
          <w:rFonts w:ascii="Calibri" w:hAnsi="Calibri" w:cs="Calibri"/>
        </w:rPr>
        <w:t>i</w:t>
      </w:r>
      <w:r w:rsidRPr="008D5F0A">
        <w:rPr>
          <w:rFonts w:ascii="Calibri" w:hAnsi="Calibri" w:cs="Calibri"/>
        </w:rPr>
        <w:t xml:space="preserve"> doprinosi na plaću, porez, prirez, te ostali rashodi za zaposlene. Na dan predaje ovog izvještaja sve obveze za zaposlene su podmirene. </w:t>
      </w:r>
    </w:p>
    <w:p w14:paraId="58A7E227" w14:textId="77777777" w:rsidR="00D5337A" w:rsidRPr="008D5F0A" w:rsidRDefault="00D5337A" w:rsidP="00D5337A">
      <w:pPr>
        <w:spacing w:after="0"/>
        <w:jc w:val="center"/>
        <w:rPr>
          <w:rFonts w:ascii="Calibri" w:hAnsi="Calibri" w:cs="Calibri"/>
        </w:rPr>
      </w:pPr>
    </w:p>
    <w:p w14:paraId="3B9BDDC4" w14:textId="00551128" w:rsidR="00D5337A" w:rsidRPr="0017321F" w:rsidRDefault="00D5337A" w:rsidP="00D5337A">
      <w:pPr>
        <w:spacing w:after="0"/>
        <w:jc w:val="center"/>
        <w:rPr>
          <w:rFonts w:ascii="Calibri" w:hAnsi="Calibri" w:cs="Calibri"/>
        </w:rPr>
      </w:pPr>
      <w:r w:rsidRPr="0017321F">
        <w:rPr>
          <w:rFonts w:ascii="Calibri" w:hAnsi="Calibri" w:cs="Calibri"/>
        </w:rPr>
        <w:t xml:space="preserve">Bilješka </w:t>
      </w:r>
      <w:r w:rsidR="00860620" w:rsidRPr="0017321F">
        <w:rPr>
          <w:rFonts w:ascii="Calibri" w:hAnsi="Calibri" w:cs="Calibri"/>
        </w:rPr>
        <w:t>6</w:t>
      </w:r>
      <w:r w:rsidRPr="0017321F">
        <w:rPr>
          <w:rFonts w:ascii="Calibri" w:hAnsi="Calibri" w:cs="Calibri"/>
        </w:rPr>
        <w:t>.</w:t>
      </w:r>
    </w:p>
    <w:p w14:paraId="65977BBF" w14:textId="654D14A3" w:rsidR="00D5337A" w:rsidRPr="00EF27BD" w:rsidRDefault="00D5337A" w:rsidP="00D5337A">
      <w:pPr>
        <w:spacing w:after="0"/>
        <w:jc w:val="center"/>
        <w:rPr>
          <w:rFonts w:ascii="Calibri" w:hAnsi="Calibri" w:cs="Calibri"/>
        </w:rPr>
      </w:pPr>
      <w:r w:rsidRPr="00EF27BD">
        <w:rPr>
          <w:rFonts w:ascii="Calibri" w:hAnsi="Calibri" w:cs="Calibri"/>
        </w:rPr>
        <w:t>AOP 1</w:t>
      </w:r>
      <w:r w:rsidR="0046374B" w:rsidRPr="00EF27BD">
        <w:rPr>
          <w:rFonts w:ascii="Calibri" w:hAnsi="Calibri" w:cs="Calibri"/>
        </w:rPr>
        <w:t>58</w:t>
      </w:r>
      <w:r w:rsidRPr="00EF27BD">
        <w:rPr>
          <w:rFonts w:ascii="Calibri" w:hAnsi="Calibri" w:cs="Calibri"/>
        </w:rPr>
        <w:t xml:space="preserve"> – Materijalni rashodi</w:t>
      </w:r>
    </w:p>
    <w:p w14:paraId="7F733C87" w14:textId="3DD29657" w:rsidR="00D5337A" w:rsidRPr="00E15B8F" w:rsidRDefault="00D5337A" w:rsidP="00D5337A">
      <w:pPr>
        <w:spacing w:after="0"/>
        <w:jc w:val="both"/>
        <w:rPr>
          <w:rFonts w:ascii="Calibri" w:hAnsi="Calibri" w:cs="Calibri"/>
        </w:rPr>
      </w:pPr>
      <w:r w:rsidRPr="00E15B8F">
        <w:rPr>
          <w:rFonts w:ascii="Calibri" w:hAnsi="Calibri" w:cs="Calibri"/>
        </w:rPr>
        <w:t xml:space="preserve">Umanjeni su u odnosu na proteklu godinu za </w:t>
      </w:r>
      <w:r w:rsidR="00AB1113" w:rsidRPr="00E15B8F">
        <w:rPr>
          <w:rFonts w:ascii="Calibri" w:hAnsi="Calibri" w:cs="Calibri"/>
        </w:rPr>
        <w:t>12</w:t>
      </w:r>
      <w:r w:rsidRPr="00E15B8F">
        <w:rPr>
          <w:rFonts w:ascii="Calibri" w:hAnsi="Calibri" w:cs="Calibri"/>
        </w:rPr>
        <w:t>%, čine 1</w:t>
      </w:r>
      <w:r w:rsidR="00AB1113" w:rsidRPr="00E15B8F">
        <w:rPr>
          <w:rFonts w:ascii="Calibri" w:hAnsi="Calibri" w:cs="Calibri"/>
        </w:rPr>
        <w:t>2</w:t>
      </w:r>
      <w:r w:rsidRPr="00E15B8F">
        <w:rPr>
          <w:rFonts w:ascii="Calibri" w:hAnsi="Calibri" w:cs="Calibri"/>
        </w:rPr>
        <w:t xml:space="preserve">% ukupnih rashoda poslovanja, a iznose </w:t>
      </w:r>
      <w:r w:rsidR="00AB1113" w:rsidRPr="00E15B8F">
        <w:rPr>
          <w:rFonts w:ascii="Calibri" w:hAnsi="Calibri" w:cs="Calibri"/>
        </w:rPr>
        <w:t>84</w:t>
      </w:r>
      <w:r w:rsidRPr="00E15B8F">
        <w:rPr>
          <w:rFonts w:ascii="Calibri" w:hAnsi="Calibri" w:cs="Calibri"/>
        </w:rPr>
        <w:t>.</w:t>
      </w:r>
      <w:r w:rsidR="00AB1113" w:rsidRPr="00E15B8F">
        <w:rPr>
          <w:rFonts w:ascii="Calibri" w:hAnsi="Calibri" w:cs="Calibri"/>
        </w:rPr>
        <w:t>322</w:t>
      </w:r>
      <w:r w:rsidRPr="00E15B8F">
        <w:rPr>
          <w:rFonts w:ascii="Calibri" w:hAnsi="Calibri" w:cs="Calibri"/>
        </w:rPr>
        <w:t xml:space="preserve"> kun</w:t>
      </w:r>
      <w:r w:rsidR="00AB1113" w:rsidRPr="00E15B8F">
        <w:rPr>
          <w:rFonts w:ascii="Calibri" w:hAnsi="Calibri" w:cs="Calibri"/>
        </w:rPr>
        <w:t>e</w:t>
      </w:r>
      <w:r w:rsidRPr="00E15B8F">
        <w:rPr>
          <w:rFonts w:ascii="Calibri" w:hAnsi="Calibri" w:cs="Calibri"/>
        </w:rPr>
        <w:t xml:space="preserve">. U strukturi materijalnih rashoda sadržane su naknade troškova zaposlenima sa  </w:t>
      </w:r>
      <w:r w:rsidR="00712E10" w:rsidRPr="00E15B8F">
        <w:rPr>
          <w:rFonts w:ascii="Calibri" w:hAnsi="Calibri" w:cs="Calibri"/>
        </w:rPr>
        <w:t>19</w:t>
      </w:r>
      <w:r w:rsidRPr="00E15B8F">
        <w:rPr>
          <w:rFonts w:ascii="Calibri" w:hAnsi="Calibri" w:cs="Calibri"/>
        </w:rPr>
        <w:t xml:space="preserve">%, rashodi za materijal i energiju 54 % i rashodi za usluge </w:t>
      </w:r>
      <w:r w:rsidR="00712E10" w:rsidRPr="00E15B8F">
        <w:rPr>
          <w:rFonts w:ascii="Calibri" w:hAnsi="Calibri" w:cs="Calibri"/>
        </w:rPr>
        <w:t>27</w:t>
      </w:r>
      <w:r w:rsidRPr="00E15B8F">
        <w:rPr>
          <w:rFonts w:ascii="Calibri" w:hAnsi="Calibri" w:cs="Calibri"/>
        </w:rPr>
        <w:t xml:space="preserve"> %. </w:t>
      </w:r>
    </w:p>
    <w:p w14:paraId="02E607B3" w14:textId="528F7D9F" w:rsidR="00D5337A" w:rsidRPr="00E15B8F" w:rsidRDefault="00D5337A" w:rsidP="00D5337A">
      <w:pPr>
        <w:pStyle w:val="Odlomakpopisa"/>
        <w:numPr>
          <w:ilvl w:val="0"/>
          <w:numId w:val="2"/>
        </w:numPr>
        <w:jc w:val="both"/>
        <w:rPr>
          <w:rFonts w:ascii="Calibri" w:hAnsi="Calibri" w:cs="Calibri"/>
          <w:sz w:val="22"/>
          <w:szCs w:val="22"/>
        </w:rPr>
      </w:pPr>
      <w:r w:rsidRPr="00E15B8F">
        <w:rPr>
          <w:rFonts w:ascii="Calibri" w:hAnsi="Calibri" w:cs="Calibri"/>
          <w:sz w:val="22"/>
          <w:szCs w:val="22"/>
        </w:rPr>
        <w:t>naknade troškova zaposlenima iznose 1</w:t>
      </w:r>
      <w:r w:rsidR="00712E10" w:rsidRPr="00E15B8F">
        <w:rPr>
          <w:rFonts w:ascii="Calibri" w:hAnsi="Calibri" w:cs="Calibri"/>
          <w:sz w:val="22"/>
          <w:szCs w:val="22"/>
        </w:rPr>
        <w:t>5</w:t>
      </w:r>
      <w:r w:rsidRPr="00E15B8F">
        <w:rPr>
          <w:rFonts w:ascii="Calibri" w:hAnsi="Calibri" w:cs="Calibri"/>
          <w:sz w:val="22"/>
          <w:szCs w:val="22"/>
        </w:rPr>
        <w:t>.</w:t>
      </w:r>
      <w:r w:rsidR="00712E10" w:rsidRPr="00E15B8F">
        <w:rPr>
          <w:rFonts w:ascii="Calibri" w:hAnsi="Calibri" w:cs="Calibri"/>
          <w:sz w:val="22"/>
          <w:szCs w:val="22"/>
        </w:rPr>
        <w:t>578</w:t>
      </w:r>
      <w:r w:rsidRPr="00E15B8F">
        <w:rPr>
          <w:rFonts w:ascii="Calibri" w:hAnsi="Calibri" w:cs="Calibri"/>
          <w:sz w:val="22"/>
          <w:szCs w:val="22"/>
        </w:rPr>
        <w:t xml:space="preserve"> kuna. 9</w:t>
      </w:r>
      <w:r w:rsidR="00712E10" w:rsidRPr="00E15B8F">
        <w:rPr>
          <w:rFonts w:ascii="Calibri" w:hAnsi="Calibri" w:cs="Calibri"/>
          <w:sz w:val="22"/>
          <w:szCs w:val="22"/>
        </w:rPr>
        <w:t>4</w:t>
      </w:r>
      <w:r w:rsidRPr="00E15B8F">
        <w:rPr>
          <w:rFonts w:ascii="Calibri" w:hAnsi="Calibri" w:cs="Calibri"/>
          <w:sz w:val="22"/>
          <w:szCs w:val="22"/>
        </w:rPr>
        <w:t xml:space="preserve">% naknada troškova zaposlenima se odnosi na isplate novčanih naknada za troškove prijevoza na posao i s posla prema stvarnim troškovima javnog prijevoza, a preostalih </w:t>
      </w:r>
      <w:r w:rsidR="00712E10" w:rsidRPr="00E15B8F">
        <w:rPr>
          <w:rFonts w:ascii="Calibri" w:hAnsi="Calibri" w:cs="Calibri"/>
          <w:sz w:val="22"/>
          <w:szCs w:val="22"/>
        </w:rPr>
        <w:t>6</w:t>
      </w:r>
      <w:r w:rsidRPr="00E15B8F">
        <w:rPr>
          <w:rFonts w:ascii="Calibri" w:hAnsi="Calibri" w:cs="Calibri"/>
          <w:sz w:val="22"/>
          <w:szCs w:val="22"/>
        </w:rPr>
        <w:t>% na stručno usavršavanje, seminare i naknad</w:t>
      </w:r>
      <w:r w:rsidR="00712E10" w:rsidRPr="00E15B8F">
        <w:rPr>
          <w:rFonts w:ascii="Calibri" w:hAnsi="Calibri" w:cs="Calibri"/>
          <w:sz w:val="22"/>
          <w:szCs w:val="22"/>
        </w:rPr>
        <w:t>u</w:t>
      </w:r>
      <w:r w:rsidRPr="00E15B8F">
        <w:rPr>
          <w:rFonts w:ascii="Calibri" w:hAnsi="Calibri" w:cs="Calibri"/>
          <w:sz w:val="22"/>
          <w:szCs w:val="22"/>
        </w:rPr>
        <w:t xml:space="preserve"> za korištenje privatnog automobila u službene svrhe.</w:t>
      </w:r>
    </w:p>
    <w:p w14:paraId="4DC20CDB" w14:textId="72046CCF" w:rsidR="00D5337A" w:rsidRPr="00E15B8F" w:rsidRDefault="00D5337A" w:rsidP="00D5337A">
      <w:pPr>
        <w:pStyle w:val="Odlomakpopisa"/>
        <w:numPr>
          <w:ilvl w:val="0"/>
          <w:numId w:val="2"/>
        </w:numPr>
        <w:jc w:val="both"/>
        <w:rPr>
          <w:rFonts w:ascii="Calibri" w:hAnsi="Calibri" w:cs="Calibri"/>
          <w:sz w:val="22"/>
          <w:szCs w:val="22"/>
        </w:rPr>
      </w:pPr>
      <w:r w:rsidRPr="00E15B8F">
        <w:rPr>
          <w:rFonts w:ascii="Calibri" w:hAnsi="Calibri" w:cs="Calibri"/>
          <w:sz w:val="22"/>
          <w:szCs w:val="22"/>
        </w:rPr>
        <w:t>Rashodi za materijal i energiju iznose 4</w:t>
      </w:r>
      <w:r w:rsidR="002F4DC8" w:rsidRPr="00E15B8F">
        <w:rPr>
          <w:rFonts w:ascii="Calibri" w:hAnsi="Calibri" w:cs="Calibri"/>
          <w:sz w:val="22"/>
          <w:szCs w:val="22"/>
        </w:rPr>
        <w:t>5</w:t>
      </w:r>
      <w:r w:rsidRPr="00E15B8F">
        <w:rPr>
          <w:rFonts w:ascii="Calibri" w:hAnsi="Calibri" w:cs="Calibri"/>
          <w:sz w:val="22"/>
          <w:szCs w:val="22"/>
        </w:rPr>
        <w:t>.</w:t>
      </w:r>
      <w:r w:rsidR="002F4DC8" w:rsidRPr="00E15B8F">
        <w:rPr>
          <w:rFonts w:ascii="Calibri" w:hAnsi="Calibri" w:cs="Calibri"/>
          <w:sz w:val="22"/>
          <w:szCs w:val="22"/>
        </w:rPr>
        <w:t>774</w:t>
      </w:r>
      <w:r w:rsidRPr="00E15B8F">
        <w:rPr>
          <w:rFonts w:ascii="Calibri" w:hAnsi="Calibri" w:cs="Calibri"/>
          <w:sz w:val="22"/>
          <w:szCs w:val="22"/>
        </w:rPr>
        <w:t xml:space="preserve"> kuna, a čine ih uredski materijal i ostali materijalni rashodi (</w:t>
      </w:r>
      <w:r w:rsidR="002F4DC8" w:rsidRPr="00E15B8F">
        <w:rPr>
          <w:rFonts w:ascii="Calibri" w:hAnsi="Calibri" w:cs="Calibri"/>
          <w:sz w:val="22"/>
          <w:szCs w:val="22"/>
        </w:rPr>
        <w:t>39</w:t>
      </w:r>
      <w:r w:rsidRPr="00E15B8F">
        <w:rPr>
          <w:rFonts w:ascii="Calibri" w:hAnsi="Calibri" w:cs="Calibri"/>
          <w:sz w:val="22"/>
          <w:szCs w:val="22"/>
        </w:rPr>
        <w:t>%), namirnice (</w:t>
      </w:r>
      <w:r w:rsidR="002F4DC8" w:rsidRPr="00E15B8F">
        <w:rPr>
          <w:rFonts w:ascii="Calibri" w:hAnsi="Calibri" w:cs="Calibri"/>
          <w:sz w:val="22"/>
          <w:szCs w:val="22"/>
        </w:rPr>
        <w:t>57</w:t>
      </w:r>
      <w:r w:rsidRPr="00E15B8F">
        <w:rPr>
          <w:rFonts w:ascii="Calibri" w:hAnsi="Calibri" w:cs="Calibri"/>
          <w:sz w:val="22"/>
          <w:szCs w:val="22"/>
        </w:rPr>
        <w:t>%), te sitni inventar</w:t>
      </w:r>
      <w:r w:rsidR="002F4DC8" w:rsidRPr="00E15B8F">
        <w:rPr>
          <w:rFonts w:ascii="Calibri" w:hAnsi="Calibri" w:cs="Calibri"/>
          <w:sz w:val="22"/>
          <w:szCs w:val="22"/>
        </w:rPr>
        <w:t xml:space="preserve"> i</w:t>
      </w:r>
      <w:r w:rsidRPr="00E15B8F">
        <w:rPr>
          <w:rFonts w:ascii="Calibri" w:hAnsi="Calibri" w:cs="Calibri"/>
          <w:sz w:val="22"/>
          <w:szCs w:val="22"/>
        </w:rPr>
        <w:t xml:space="preserve"> radna odjeća i obuća (</w:t>
      </w:r>
      <w:r w:rsidR="00E15B8F" w:rsidRPr="00E15B8F">
        <w:rPr>
          <w:rFonts w:ascii="Calibri" w:hAnsi="Calibri" w:cs="Calibri"/>
          <w:sz w:val="22"/>
          <w:szCs w:val="22"/>
        </w:rPr>
        <w:t>4</w:t>
      </w:r>
      <w:r w:rsidRPr="00E15B8F">
        <w:rPr>
          <w:rFonts w:ascii="Calibri" w:hAnsi="Calibri" w:cs="Calibri"/>
          <w:sz w:val="22"/>
          <w:szCs w:val="22"/>
        </w:rPr>
        <w:t>%).</w:t>
      </w:r>
    </w:p>
    <w:p w14:paraId="28741B8F" w14:textId="6806D5E7" w:rsidR="00D5337A" w:rsidRPr="00E15B8F" w:rsidRDefault="00D5337A" w:rsidP="00D5337A">
      <w:pPr>
        <w:pStyle w:val="Odlomakpopisa"/>
        <w:numPr>
          <w:ilvl w:val="0"/>
          <w:numId w:val="2"/>
        </w:numPr>
        <w:jc w:val="both"/>
        <w:rPr>
          <w:rFonts w:ascii="Calibri" w:hAnsi="Calibri" w:cs="Calibri"/>
          <w:sz w:val="22"/>
          <w:szCs w:val="22"/>
        </w:rPr>
      </w:pPr>
      <w:r w:rsidRPr="00E15B8F">
        <w:rPr>
          <w:rFonts w:ascii="Calibri" w:hAnsi="Calibri" w:cs="Calibri"/>
          <w:sz w:val="22"/>
          <w:szCs w:val="22"/>
        </w:rPr>
        <w:t xml:space="preserve">Rashodi za usluge iznose </w:t>
      </w:r>
      <w:r w:rsidR="002F4DC8" w:rsidRPr="00E15B8F">
        <w:rPr>
          <w:rFonts w:ascii="Calibri" w:hAnsi="Calibri" w:cs="Calibri"/>
          <w:sz w:val="22"/>
          <w:szCs w:val="22"/>
        </w:rPr>
        <w:t>22</w:t>
      </w:r>
      <w:r w:rsidRPr="00E15B8F">
        <w:rPr>
          <w:rFonts w:ascii="Calibri" w:hAnsi="Calibri" w:cs="Calibri"/>
          <w:sz w:val="22"/>
          <w:szCs w:val="22"/>
        </w:rPr>
        <w:t>.</w:t>
      </w:r>
      <w:r w:rsidR="002F4DC8" w:rsidRPr="00E15B8F">
        <w:rPr>
          <w:rFonts w:ascii="Calibri" w:hAnsi="Calibri" w:cs="Calibri"/>
          <w:sz w:val="22"/>
          <w:szCs w:val="22"/>
        </w:rPr>
        <w:t>851</w:t>
      </w:r>
      <w:r w:rsidRPr="00E15B8F">
        <w:rPr>
          <w:rFonts w:ascii="Calibri" w:hAnsi="Calibri" w:cs="Calibri"/>
          <w:sz w:val="22"/>
          <w:szCs w:val="22"/>
        </w:rPr>
        <w:t xml:space="preserve"> kuna, a sastoje se od  usluga telefona (</w:t>
      </w:r>
      <w:r w:rsidR="002F4DC8" w:rsidRPr="00E15B8F">
        <w:rPr>
          <w:rFonts w:ascii="Calibri" w:hAnsi="Calibri" w:cs="Calibri"/>
          <w:sz w:val="22"/>
          <w:szCs w:val="22"/>
        </w:rPr>
        <w:t>41</w:t>
      </w:r>
      <w:r w:rsidRPr="00E15B8F">
        <w:rPr>
          <w:rFonts w:ascii="Calibri" w:hAnsi="Calibri" w:cs="Calibri"/>
          <w:sz w:val="22"/>
          <w:szCs w:val="22"/>
        </w:rPr>
        <w:t>%), Intelektualn</w:t>
      </w:r>
      <w:r w:rsidR="00E15B8F" w:rsidRPr="00E15B8F">
        <w:rPr>
          <w:rFonts w:ascii="Calibri" w:hAnsi="Calibri" w:cs="Calibri"/>
          <w:sz w:val="22"/>
          <w:szCs w:val="22"/>
        </w:rPr>
        <w:t>ih</w:t>
      </w:r>
      <w:r w:rsidRPr="00E15B8F">
        <w:rPr>
          <w:rFonts w:ascii="Calibri" w:hAnsi="Calibri" w:cs="Calibri"/>
          <w:sz w:val="22"/>
          <w:szCs w:val="22"/>
        </w:rPr>
        <w:t xml:space="preserve"> i osobn</w:t>
      </w:r>
      <w:r w:rsidR="00E15B8F" w:rsidRPr="00E15B8F">
        <w:rPr>
          <w:rFonts w:ascii="Calibri" w:hAnsi="Calibri" w:cs="Calibri"/>
          <w:sz w:val="22"/>
          <w:szCs w:val="22"/>
        </w:rPr>
        <w:t>ih</w:t>
      </w:r>
      <w:r w:rsidRPr="00E15B8F">
        <w:rPr>
          <w:rFonts w:ascii="Calibri" w:hAnsi="Calibri" w:cs="Calibri"/>
          <w:sz w:val="22"/>
          <w:szCs w:val="22"/>
        </w:rPr>
        <w:t xml:space="preserve"> uslug</w:t>
      </w:r>
      <w:r w:rsidR="00E15B8F" w:rsidRPr="00E15B8F">
        <w:rPr>
          <w:rFonts w:ascii="Calibri" w:hAnsi="Calibri" w:cs="Calibri"/>
          <w:sz w:val="22"/>
          <w:szCs w:val="22"/>
        </w:rPr>
        <w:t>a</w:t>
      </w:r>
      <w:r w:rsidRPr="00E15B8F">
        <w:rPr>
          <w:rFonts w:ascii="Calibri" w:hAnsi="Calibri" w:cs="Calibri"/>
          <w:sz w:val="22"/>
          <w:szCs w:val="22"/>
        </w:rPr>
        <w:t xml:space="preserve"> (</w:t>
      </w:r>
      <w:r w:rsidR="00E15B8F" w:rsidRPr="00E15B8F">
        <w:rPr>
          <w:rFonts w:ascii="Calibri" w:hAnsi="Calibri" w:cs="Calibri"/>
          <w:sz w:val="22"/>
          <w:szCs w:val="22"/>
        </w:rPr>
        <w:t>52</w:t>
      </w:r>
      <w:r w:rsidRPr="00E15B8F">
        <w:rPr>
          <w:rFonts w:ascii="Calibri" w:hAnsi="Calibri" w:cs="Calibri"/>
          <w:sz w:val="22"/>
          <w:szCs w:val="22"/>
        </w:rPr>
        <w:t>%), te računalnih i ostalih usluga (</w:t>
      </w:r>
      <w:r w:rsidR="00E15B8F" w:rsidRPr="00E15B8F">
        <w:rPr>
          <w:rFonts w:ascii="Calibri" w:hAnsi="Calibri" w:cs="Calibri"/>
          <w:sz w:val="22"/>
          <w:szCs w:val="22"/>
        </w:rPr>
        <w:t>7</w:t>
      </w:r>
      <w:r w:rsidRPr="00E15B8F">
        <w:rPr>
          <w:rFonts w:ascii="Calibri" w:hAnsi="Calibri" w:cs="Calibri"/>
          <w:sz w:val="22"/>
          <w:szCs w:val="22"/>
        </w:rPr>
        <w:t xml:space="preserve">%). Intelektualne i osobne usluge iznose </w:t>
      </w:r>
      <w:r w:rsidR="00E15B8F" w:rsidRPr="00E15B8F">
        <w:rPr>
          <w:rFonts w:ascii="Calibri" w:hAnsi="Calibri" w:cs="Calibri"/>
          <w:sz w:val="22"/>
          <w:szCs w:val="22"/>
        </w:rPr>
        <w:t>11</w:t>
      </w:r>
      <w:r w:rsidRPr="00E15B8F">
        <w:rPr>
          <w:rFonts w:ascii="Calibri" w:hAnsi="Calibri" w:cs="Calibri"/>
          <w:sz w:val="22"/>
          <w:szCs w:val="22"/>
        </w:rPr>
        <w:t>.</w:t>
      </w:r>
      <w:r w:rsidR="00E15B8F" w:rsidRPr="00E15B8F">
        <w:rPr>
          <w:rFonts w:ascii="Calibri" w:hAnsi="Calibri" w:cs="Calibri"/>
          <w:sz w:val="22"/>
          <w:szCs w:val="22"/>
        </w:rPr>
        <w:t>852</w:t>
      </w:r>
      <w:r w:rsidRPr="00E15B8F">
        <w:rPr>
          <w:rFonts w:ascii="Calibri" w:hAnsi="Calibri" w:cs="Calibri"/>
          <w:sz w:val="22"/>
          <w:szCs w:val="22"/>
        </w:rPr>
        <w:t xml:space="preserve"> kun</w:t>
      </w:r>
      <w:r w:rsidR="00E15B8F" w:rsidRPr="00E15B8F">
        <w:rPr>
          <w:rFonts w:ascii="Calibri" w:hAnsi="Calibri" w:cs="Calibri"/>
          <w:sz w:val="22"/>
          <w:szCs w:val="22"/>
        </w:rPr>
        <w:t>a</w:t>
      </w:r>
      <w:r w:rsidRPr="00E15B8F">
        <w:rPr>
          <w:rFonts w:ascii="Calibri" w:hAnsi="Calibri" w:cs="Calibri"/>
          <w:sz w:val="22"/>
          <w:szCs w:val="22"/>
        </w:rPr>
        <w:t xml:space="preserve">, </w:t>
      </w:r>
      <w:r w:rsidR="00E15B8F" w:rsidRPr="00E15B8F">
        <w:rPr>
          <w:rFonts w:ascii="Calibri" w:hAnsi="Calibri" w:cs="Calibri"/>
          <w:sz w:val="22"/>
          <w:szCs w:val="22"/>
        </w:rPr>
        <w:t>a odnose se na</w:t>
      </w:r>
      <w:r w:rsidRPr="00E15B8F">
        <w:rPr>
          <w:rFonts w:ascii="Calibri" w:hAnsi="Calibri" w:cs="Calibri"/>
          <w:sz w:val="22"/>
          <w:szCs w:val="22"/>
        </w:rPr>
        <w:t xml:space="preserve"> </w:t>
      </w:r>
      <w:r w:rsidR="00E15B8F" w:rsidRPr="00E15B8F">
        <w:rPr>
          <w:rFonts w:ascii="Calibri" w:hAnsi="Calibri" w:cs="Calibri"/>
          <w:sz w:val="22"/>
          <w:szCs w:val="22"/>
        </w:rPr>
        <w:t xml:space="preserve">uslugu </w:t>
      </w:r>
      <w:r w:rsidRPr="00E15B8F">
        <w:rPr>
          <w:rFonts w:ascii="Calibri" w:hAnsi="Calibri" w:cs="Calibri"/>
          <w:sz w:val="22"/>
          <w:szCs w:val="22"/>
        </w:rPr>
        <w:t>čišćenj</w:t>
      </w:r>
      <w:r w:rsidR="00E15B8F" w:rsidRPr="00E15B8F">
        <w:rPr>
          <w:rFonts w:ascii="Calibri" w:hAnsi="Calibri" w:cs="Calibri"/>
          <w:sz w:val="22"/>
          <w:szCs w:val="22"/>
        </w:rPr>
        <w:t>a</w:t>
      </w:r>
      <w:r w:rsidRPr="00E15B8F">
        <w:rPr>
          <w:rFonts w:ascii="Calibri" w:hAnsi="Calibri" w:cs="Calibri"/>
          <w:sz w:val="22"/>
          <w:szCs w:val="22"/>
        </w:rPr>
        <w:t xml:space="preserve"> prostorija vrtića</w:t>
      </w:r>
      <w:r w:rsidR="00E15B8F" w:rsidRPr="00E15B8F">
        <w:rPr>
          <w:rFonts w:ascii="Calibri" w:hAnsi="Calibri" w:cs="Calibri"/>
          <w:sz w:val="22"/>
          <w:szCs w:val="22"/>
        </w:rPr>
        <w:t>,</w:t>
      </w:r>
      <w:r w:rsidRPr="00E15B8F">
        <w:rPr>
          <w:rFonts w:ascii="Calibri" w:hAnsi="Calibri" w:cs="Calibri"/>
          <w:sz w:val="22"/>
          <w:szCs w:val="22"/>
        </w:rPr>
        <w:t xml:space="preserve"> financiran</w:t>
      </w:r>
      <w:r w:rsidR="00E15B8F" w:rsidRPr="00E15B8F">
        <w:rPr>
          <w:rFonts w:ascii="Calibri" w:hAnsi="Calibri" w:cs="Calibri"/>
          <w:sz w:val="22"/>
          <w:szCs w:val="22"/>
        </w:rPr>
        <w:t>u</w:t>
      </w:r>
      <w:r w:rsidRPr="00E15B8F">
        <w:rPr>
          <w:rFonts w:ascii="Calibri" w:hAnsi="Calibri" w:cs="Calibri"/>
          <w:sz w:val="22"/>
          <w:szCs w:val="22"/>
        </w:rPr>
        <w:t xml:space="preserve"> iz nadležnog proračuna</w:t>
      </w:r>
      <w:r w:rsidR="00E15B8F" w:rsidRPr="00E15B8F">
        <w:rPr>
          <w:rFonts w:ascii="Calibri" w:hAnsi="Calibri" w:cs="Calibri"/>
          <w:sz w:val="22"/>
          <w:szCs w:val="22"/>
        </w:rPr>
        <w:t>.</w:t>
      </w:r>
    </w:p>
    <w:p w14:paraId="0951F9F2" w14:textId="77777777" w:rsidR="00D5337A" w:rsidRPr="00E15B8F" w:rsidRDefault="00D5337A" w:rsidP="00D5337A">
      <w:pPr>
        <w:pStyle w:val="Odlomakpopisa"/>
        <w:jc w:val="both"/>
        <w:rPr>
          <w:rFonts w:ascii="Calibri" w:hAnsi="Calibri" w:cs="Calibri"/>
          <w:sz w:val="22"/>
          <w:szCs w:val="22"/>
        </w:rPr>
      </w:pPr>
    </w:p>
    <w:p w14:paraId="28EE66D9" w14:textId="09C93530" w:rsidR="00D5337A" w:rsidRPr="0017321F" w:rsidRDefault="00D5337A" w:rsidP="00D5337A">
      <w:pPr>
        <w:spacing w:after="0"/>
        <w:jc w:val="center"/>
        <w:rPr>
          <w:rFonts w:ascii="Calibri" w:hAnsi="Calibri" w:cs="Calibri"/>
        </w:rPr>
      </w:pPr>
      <w:r w:rsidRPr="0017321F">
        <w:rPr>
          <w:rFonts w:ascii="Calibri" w:hAnsi="Calibri" w:cs="Calibri"/>
        </w:rPr>
        <w:t xml:space="preserve">Bilješka </w:t>
      </w:r>
      <w:r w:rsidR="0046374B" w:rsidRPr="0017321F">
        <w:rPr>
          <w:rFonts w:ascii="Calibri" w:hAnsi="Calibri" w:cs="Calibri"/>
        </w:rPr>
        <w:t>7</w:t>
      </w:r>
      <w:r w:rsidRPr="0017321F">
        <w:rPr>
          <w:rFonts w:ascii="Calibri" w:hAnsi="Calibri" w:cs="Calibri"/>
        </w:rPr>
        <w:t>.</w:t>
      </w:r>
    </w:p>
    <w:p w14:paraId="5CEC5392" w14:textId="0BA61022" w:rsidR="00D5337A" w:rsidRPr="0046374B" w:rsidRDefault="00D5337A" w:rsidP="00D5337A">
      <w:pPr>
        <w:spacing w:after="0"/>
        <w:jc w:val="center"/>
        <w:rPr>
          <w:rFonts w:ascii="Calibri" w:hAnsi="Calibri" w:cs="Calibri"/>
        </w:rPr>
      </w:pPr>
      <w:r w:rsidRPr="00EF27BD">
        <w:rPr>
          <w:rFonts w:ascii="Calibri" w:hAnsi="Calibri" w:cs="Calibri"/>
        </w:rPr>
        <w:t>AOP 19</w:t>
      </w:r>
      <w:r w:rsidR="0046374B" w:rsidRPr="00EF27BD">
        <w:rPr>
          <w:rFonts w:ascii="Calibri" w:hAnsi="Calibri" w:cs="Calibri"/>
        </w:rPr>
        <w:t>1</w:t>
      </w:r>
      <w:r w:rsidRPr="00EF27BD">
        <w:rPr>
          <w:rFonts w:ascii="Calibri" w:hAnsi="Calibri" w:cs="Calibri"/>
        </w:rPr>
        <w:t xml:space="preserve"> – Financijski </w:t>
      </w:r>
      <w:r w:rsidRPr="0046374B">
        <w:rPr>
          <w:rFonts w:ascii="Calibri" w:hAnsi="Calibri" w:cs="Calibri"/>
        </w:rPr>
        <w:t>rashodi</w:t>
      </w:r>
    </w:p>
    <w:p w14:paraId="714EDF7A" w14:textId="47F4D4B6" w:rsidR="00D5337A" w:rsidRPr="0046374B" w:rsidRDefault="00D5337A" w:rsidP="00D5337A">
      <w:pPr>
        <w:spacing w:after="0"/>
        <w:jc w:val="both"/>
        <w:rPr>
          <w:rFonts w:ascii="Calibri" w:hAnsi="Calibri" w:cs="Calibri"/>
        </w:rPr>
      </w:pPr>
      <w:r w:rsidRPr="0046374B">
        <w:rPr>
          <w:rFonts w:ascii="Calibri" w:hAnsi="Calibri" w:cs="Calibri"/>
        </w:rPr>
        <w:t>Odnose se na naknade banaka i bankarske usluge</w:t>
      </w:r>
      <w:r w:rsidR="0046374B" w:rsidRPr="0046374B">
        <w:rPr>
          <w:rFonts w:ascii="Calibri" w:hAnsi="Calibri" w:cs="Calibri"/>
        </w:rPr>
        <w:t xml:space="preserve"> OTP banke i </w:t>
      </w:r>
      <w:proofErr w:type="spellStart"/>
      <w:r w:rsidR="0046374B" w:rsidRPr="0046374B">
        <w:rPr>
          <w:rFonts w:ascii="Calibri" w:hAnsi="Calibri" w:cs="Calibri"/>
        </w:rPr>
        <w:t>Erate</w:t>
      </w:r>
      <w:proofErr w:type="spellEnd"/>
      <w:r w:rsidR="0046374B" w:rsidRPr="0046374B">
        <w:rPr>
          <w:rFonts w:ascii="Calibri" w:hAnsi="Calibri" w:cs="Calibri"/>
        </w:rPr>
        <w:t xml:space="preserve"> banke</w:t>
      </w:r>
      <w:r w:rsidRPr="0046374B">
        <w:rPr>
          <w:rFonts w:ascii="Calibri" w:hAnsi="Calibri" w:cs="Calibri"/>
        </w:rPr>
        <w:t>. Iznose 3.</w:t>
      </w:r>
      <w:r w:rsidR="0046374B" w:rsidRPr="0046374B">
        <w:rPr>
          <w:rFonts w:ascii="Calibri" w:hAnsi="Calibri" w:cs="Calibri"/>
        </w:rPr>
        <w:t>134</w:t>
      </w:r>
      <w:r w:rsidRPr="0046374B">
        <w:rPr>
          <w:rFonts w:ascii="Calibri" w:hAnsi="Calibri" w:cs="Calibri"/>
        </w:rPr>
        <w:t xml:space="preserve"> kun</w:t>
      </w:r>
      <w:r w:rsidR="0084698B">
        <w:rPr>
          <w:rFonts w:ascii="Calibri" w:hAnsi="Calibri" w:cs="Calibri"/>
        </w:rPr>
        <w:t>e</w:t>
      </w:r>
      <w:r w:rsidR="0046374B" w:rsidRPr="0046374B">
        <w:rPr>
          <w:rFonts w:ascii="Calibri" w:hAnsi="Calibri" w:cs="Calibri"/>
        </w:rPr>
        <w:t>.</w:t>
      </w:r>
    </w:p>
    <w:p w14:paraId="79E04A8C" w14:textId="1A4A3D6D" w:rsidR="00D5337A" w:rsidRDefault="00D5337A" w:rsidP="00D5337A">
      <w:pPr>
        <w:spacing w:after="0"/>
        <w:jc w:val="both"/>
        <w:rPr>
          <w:rFonts w:ascii="Calibri" w:hAnsi="Calibri" w:cs="Calibri"/>
          <w:color w:val="FF0000"/>
        </w:rPr>
      </w:pPr>
    </w:p>
    <w:p w14:paraId="2D234123" w14:textId="591D9E16" w:rsidR="0046374B" w:rsidRPr="0017321F" w:rsidRDefault="0046374B" w:rsidP="0046374B">
      <w:pPr>
        <w:spacing w:after="0"/>
        <w:jc w:val="center"/>
        <w:rPr>
          <w:rFonts w:ascii="Calibri" w:hAnsi="Calibri" w:cs="Calibri"/>
        </w:rPr>
      </w:pPr>
      <w:r w:rsidRPr="0017321F">
        <w:rPr>
          <w:rFonts w:ascii="Calibri" w:hAnsi="Calibri" w:cs="Calibri"/>
        </w:rPr>
        <w:t>Bilješka 8.</w:t>
      </w:r>
    </w:p>
    <w:p w14:paraId="604688E8" w14:textId="14EA86C9" w:rsidR="0046374B" w:rsidRPr="0046374B" w:rsidRDefault="0046374B" w:rsidP="0046374B">
      <w:pPr>
        <w:spacing w:after="0"/>
        <w:jc w:val="center"/>
        <w:rPr>
          <w:rFonts w:ascii="Calibri" w:hAnsi="Calibri" w:cs="Calibri"/>
        </w:rPr>
      </w:pPr>
      <w:r w:rsidRPr="00485D15">
        <w:rPr>
          <w:rFonts w:ascii="Calibri" w:hAnsi="Calibri" w:cs="Calibri"/>
        </w:rPr>
        <w:t xml:space="preserve">AOP 357 – Rashodi </w:t>
      </w:r>
      <w:r w:rsidRPr="0046374B">
        <w:rPr>
          <w:rFonts w:ascii="Calibri" w:hAnsi="Calibri" w:cs="Calibri"/>
        </w:rPr>
        <w:t>za nabavu proizvedene dugot</w:t>
      </w:r>
      <w:r>
        <w:rPr>
          <w:rFonts w:ascii="Calibri" w:hAnsi="Calibri" w:cs="Calibri"/>
        </w:rPr>
        <w:t>r</w:t>
      </w:r>
      <w:r w:rsidRPr="0046374B">
        <w:rPr>
          <w:rFonts w:ascii="Calibri" w:hAnsi="Calibri" w:cs="Calibri"/>
        </w:rPr>
        <w:t>ajne imovine</w:t>
      </w:r>
    </w:p>
    <w:p w14:paraId="19FCFF1D" w14:textId="7E7981E7" w:rsidR="0046374B" w:rsidRPr="0046374B" w:rsidRDefault="00976868" w:rsidP="00D5337A">
      <w:pPr>
        <w:spacing w:after="0"/>
        <w:jc w:val="both"/>
        <w:rPr>
          <w:rFonts w:ascii="Calibri" w:hAnsi="Calibri" w:cs="Calibri"/>
        </w:rPr>
      </w:pPr>
      <w:r>
        <w:rPr>
          <w:rFonts w:ascii="Calibri" w:hAnsi="Calibri" w:cs="Calibri"/>
        </w:rPr>
        <w:t xml:space="preserve">Nabavljena je nova uredska oprema, odnosno novo računalo sa računalnom opremom u iznosu od 6.861 kunu, te je evidentirana kao proizvedena dugotrajna nefinancijska imovina. </w:t>
      </w:r>
    </w:p>
    <w:p w14:paraId="12E508D1" w14:textId="779006B9" w:rsidR="0046374B" w:rsidRDefault="0046374B" w:rsidP="00D5337A">
      <w:pPr>
        <w:spacing w:after="0"/>
        <w:jc w:val="both"/>
        <w:rPr>
          <w:rFonts w:ascii="Calibri" w:hAnsi="Calibri" w:cs="Calibri"/>
          <w:color w:val="FF0000"/>
        </w:rPr>
      </w:pPr>
    </w:p>
    <w:p w14:paraId="2C98C72F" w14:textId="1A38574A" w:rsidR="00D5337A" w:rsidRPr="0017321F" w:rsidRDefault="00D5337A" w:rsidP="00D5337A">
      <w:pPr>
        <w:spacing w:after="0"/>
        <w:jc w:val="center"/>
        <w:rPr>
          <w:rFonts w:ascii="Calibri" w:hAnsi="Calibri" w:cs="Calibri"/>
        </w:rPr>
      </w:pPr>
      <w:r w:rsidRPr="0017321F">
        <w:rPr>
          <w:rFonts w:ascii="Calibri" w:hAnsi="Calibri" w:cs="Calibri"/>
        </w:rPr>
        <w:t xml:space="preserve">Bilješka </w:t>
      </w:r>
      <w:r w:rsidR="00976868" w:rsidRPr="0017321F">
        <w:rPr>
          <w:rFonts w:ascii="Calibri" w:hAnsi="Calibri" w:cs="Calibri"/>
        </w:rPr>
        <w:t>9</w:t>
      </w:r>
      <w:r w:rsidRPr="0017321F">
        <w:rPr>
          <w:rFonts w:ascii="Calibri" w:hAnsi="Calibri" w:cs="Calibri"/>
        </w:rPr>
        <w:t>.</w:t>
      </w:r>
    </w:p>
    <w:p w14:paraId="7C1E2652" w14:textId="693EF343" w:rsidR="00D5337A" w:rsidRPr="00485D15" w:rsidRDefault="00D5337A" w:rsidP="00D5337A">
      <w:pPr>
        <w:spacing w:after="0"/>
        <w:jc w:val="center"/>
        <w:rPr>
          <w:rFonts w:ascii="Calibri" w:hAnsi="Calibri" w:cs="Calibri"/>
        </w:rPr>
      </w:pPr>
      <w:r w:rsidRPr="00485D15">
        <w:rPr>
          <w:rFonts w:ascii="Calibri" w:hAnsi="Calibri" w:cs="Calibri"/>
        </w:rPr>
        <w:t xml:space="preserve">AOP  </w:t>
      </w:r>
      <w:r w:rsidR="00485D15" w:rsidRPr="00485D15">
        <w:rPr>
          <w:rFonts w:ascii="Calibri" w:hAnsi="Calibri" w:cs="Calibri"/>
        </w:rPr>
        <w:t xml:space="preserve">638 </w:t>
      </w:r>
      <w:r w:rsidRPr="00485D15">
        <w:rPr>
          <w:rFonts w:ascii="Calibri" w:hAnsi="Calibri" w:cs="Calibri"/>
        </w:rPr>
        <w:t xml:space="preserve">- Višak prihoda </w:t>
      </w:r>
      <w:r w:rsidR="00485D15" w:rsidRPr="00485D15">
        <w:rPr>
          <w:rFonts w:ascii="Calibri" w:hAnsi="Calibri" w:cs="Calibri"/>
        </w:rPr>
        <w:t>i primitaka raspoloživ u sljedećem razdoblju</w:t>
      </w:r>
    </w:p>
    <w:p w14:paraId="1D5C5644" w14:textId="30BC0CEB" w:rsidR="00A77AD0" w:rsidRPr="00315BD8" w:rsidRDefault="00D5337A" w:rsidP="00D5337A">
      <w:pPr>
        <w:spacing w:after="0"/>
        <w:jc w:val="both"/>
        <w:rPr>
          <w:rFonts w:ascii="Calibri" w:hAnsi="Calibri" w:cs="Calibri"/>
        </w:rPr>
      </w:pPr>
      <w:r w:rsidRPr="00485D15">
        <w:rPr>
          <w:rFonts w:ascii="Calibri" w:hAnsi="Calibri" w:cs="Calibri"/>
        </w:rPr>
        <w:t xml:space="preserve">Rezultat poslovanja </w:t>
      </w:r>
      <w:r w:rsidR="003B08B6" w:rsidRPr="00485D15">
        <w:rPr>
          <w:rFonts w:ascii="Calibri" w:hAnsi="Calibri" w:cs="Calibri"/>
        </w:rPr>
        <w:t>za</w:t>
      </w:r>
      <w:r w:rsidRPr="00485D15">
        <w:rPr>
          <w:rFonts w:ascii="Calibri" w:hAnsi="Calibri" w:cs="Calibri"/>
        </w:rPr>
        <w:t xml:space="preserve"> 202</w:t>
      </w:r>
      <w:r w:rsidR="00976868" w:rsidRPr="00485D15">
        <w:rPr>
          <w:rFonts w:ascii="Calibri" w:hAnsi="Calibri" w:cs="Calibri"/>
        </w:rPr>
        <w:t>1</w:t>
      </w:r>
      <w:r w:rsidRPr="00485D15">
        <w:rPr>
          <w:rFonts w:ascii="Calibri" w:hAnsi="Calibri" w:cs="Calibri"/>
        </w:rPr>
        <w:t>. godin</w:t>
      </w:r>
      <w:r w:rsidR="003B08B6" w:rsidRPr="0017321F">
        <w:rPr>
          <w:rFonts w:ascii="Calibri" w:hAnsi="Calibri" w:cs="Calibri"/>
        </w:rPr>
        <w:t>u</w:t>
      </w:r>
      <w:r w:rsidRPr="0017321F">
        <w:rPr>
          <w:rFonts w:ascii="Calibri" w:hAnsi="Calibri" w:cs="Calibri"/>
        </w:rPr>
        <w:t xml:space="preserve"> </w:t>
      </w:r>
      <w:r w:rsidR="003B08B6" w:rsidRPr="0017321F">
        <w:rPr>
          <w:rFonts w:ascii="Calibri" w:hAnsi="Calibri" w:cs="Calibri"/>
        </w:rPr>
        <w:t>od</w:t>
      </w:r>
      <w:r w:rsidR="00C7496A" w:rsidRPr="0017321F">
        <w:rPr>
          <w:rFonts w:ascii="Calibri" w:hAnsi="Calibri" w:cs="Calibri"/>
        </w:rPr>
        <w:t xml:space="preserve"> 47.086</w:t>
      </w:r>
      <w:r w:rsidRPr="0017321F">
        <w:rPr>
          <w:rFonts w:ascii="Calibri" w:hAnsi="Calibri" w:cs="Calibri"/>
        </w:rPr>
        <w:t xml:space="preserve"> kuna viška prihoda </w:t>
      </w:r>
      <w:r w:rsidR="00C7496A" w:rsidRPr="0017321F">
        <w:rPr>
          <w:rFonts w:ascii="Calibri" w:hAnsi="Calibri" w:cs="Calibri"/>
        </w:rPr>
        <w:t>i primitaka</w:t>
      </w:r>
      <w:r w:rsidR="0084698B">
        <w:rPr>
          <w:rFonts w:ascii="Calibri" w:hAnsi="Calibri" w:cs="Calibri"/>
        </w:rPr>
        <w:t xml:space="preserve"> </w:t>
      </w:r>
      <w:r w:rsidRPr="0017321F">
        <w:rPr>
          <w:rFonts w:ascii="Calibri" w:hAnsi="Calibri" w:cs="Calibri"/>
        </w:rPr>
        <w:t xml:space="preserve">proizlazi iz razlike ukupnih prihoda poslovanja u iznosu od </w:t>
      </w:r>
      <w:r w:rsidR="00C7496A" w:rsidRPr="0017321F">
        <w:rPr>
          <w:rFonts w:ascii="Calibri" w:hAnsi="Calibri" w:cs="Calibri"/>
        </w:rPr>
        <w:t>734.888 kuna,</w:t>
      </w:r>
      <w:r w:rsidRPr="0017321F">
        <w:rPr>
          <w:rFonts w:ascii="Calibri" w:hAnsi="Calibri" w:cs="Calibri"/>
        </w:rPr>
        <w:t xml:space="preserve"> ukupnih rashoda poslovanja u iznosu od </w:t>
      </w:r>
      <w:r w:rsidR="00C7496A" w:rsidRPr="0017321F">
        <w:rPr>
          <w:rFonts w:ascii="Calibri" w:hAnsi="Calibri" w:cs="Calibri"/>
        </w:rPr>
        <w:t>680.941</w:t>
      </w:r>
      <w:r w:rsidRPr="0017321F">
        <w:rPr>
          <w:rFonts w:ascii="Calibri" w:hAnsi="Calibri" w:cs="Calibri"/>
        </w:rPr>
        <w:t xml:space="preserve"> kuna</w:t>
      </w:r>
      <w:r w:rsidR="00C7496A" w:rsidRPr="0017321F">
        <w:rPr>
          <w:rFonts w:ascii="Calibri" w:hAnsi="Calibri" w:cs="Calibri"/>
        </w:rPr>
        <w:t>, te</w:t>
      </w:r>
      <w:r w:rsidR="00A77AD0" w:rsidRPr="0017321F">
        <w:rPr>
          <w:rFonts w:ascii="Calibri" w:hAnsi="Calibri" w:cs="Calibri"/>
        </w:rPr>
        <w:t xml:space="preserve"> </w:t>
      </w:r>
      <w:r w:rsidR="00C7496A" w:rsidRPr="0017321F">
        <w:rPr>
          <w:rFonts w:ascii="Calibri" w:hAnsi="Calibri" w:cs="Calibri"/>
        </w:rPr>
        <w:t>ukupnih</w:t>
      </w:r>
      <w:r w:rsidR="00A77AD0" w:rsidRPr="0017321F">
        <w:rPr>
          <w:rFonts w:ascii="Calibri" w:hAnsi="Calibri" w:cs="Calibri"/>
        </w:rPr>
        <w:t xml:space="preserve"> rashoda za nabavu nefinancijske imovine od 6.861 </w:t>
      </w:r>
      <w:r w:rsidR="00A77AD0" w:rsidRPr="00315BD8">
        <w:rPr>
          <w:rFonts w:ascii="Calibri" w:hAnsi="Calibri" w:cs="Calibri"/>
        </w:rPr>
        <w:t>kune.</w:t>
      </w:r>
      <w:r w:rsidR="00315BD8" w:rsidRPr="00315BD8">
        <w:rPr>
          <w:rFonts w:ascii="Calibri" w:hAnsi="Calibri" w:cs="Calibri"/>
        </w:rPr>
        <w:t xml:space="preserve"> P</w:t>
      </w:r>
      <w:r w:rsidRPr="00315BD8">
        <w:rPr>
          <w:rFonts w:ascii="Calibri" w:hAnsi="Calibri" w:cs="Calibri"/>
        </w:rPr>
        <w:t>reneseni</w:t>
      </w:r>
      <w:r w:rsidR="00A77AD0" w:rsidRPr="00315BD8">
        <w:rPr>
          <w:rFonts w:ascii="Calibri" w:hAnsi="Calibri" w:cs="Calibri"/>
        </w:rPr>
        <w:t>m</w:t>
      </w:r>
      <w:r w:rsidRPr="00315BD8">
        <w:rPr>
          <w:rFonts w:ascii="Calibri" w:hAnsi="Calibri" w:cs="Calibri"/>
        </w:rPr>
        <w:t xml:space="preserve"> manjk</w:t>
      </w:r>
      <w:r w:rsidR="00A77AD0" w:rsidRPr="00315BD8">
        <w:rPr>
          <w:rFonts w:ascii="Calibri" w:hAnsi="Calibri" w:cs="Calibri"/>
        </w:rPr>
        <w:t>om</w:t>
      </w:r>
      <w:r w:rsidRPr="00315BD8">
        <w:rPr>
          <w:rFonts w:ascii="Calibri" w:hAnsi="Calibri" w:cs="Calibri"/>
        </w:rPr>
        <w:t xml:space="preserve"> prihoda </w:t>
      </w:r>
      <w:r w:rsidR="00315BD8" w:rsidRPr="00315BD8">
        <w:rPr>
          <w:rFonts w:ascii="Calibri" w:hAnsi="Calibri" w:cs="Calibri"/>
        </w:rPr>
        <w:t>poslovanja</w:t>
      </w:r>
      <w:r w:rsidRPr="00315BD8">
        <w:rPr>
          <w:rFonts w:ascii="Calibri" w:hAnsi="Calibri" w:cs="Calibri"/>
        </w:rPr>
        <w:t xml:space="preserve"> </w:t>
      </w:r>
      <w:r w:rsidR="00A77AD0" w:rsidRPr="00315BD8">
        <w:rPr>
          <w:rFonts w:ascii="Calibri" w:hAnsi="Calibri" w:cs="Calibri"/>
        </w:rPr>
        <w:t>od 27.788 kuna konačni rezultat</w:t>
      </w:r>
      <w:r w:rsidR="0017321F" w:rsidRPr="00315BD8">
        <w:rPr>
          <w:rFonts w:ascii="Calibri" w:hAnsi="Calibri" w:cs="Calibri"/>
        </w:rPr>
        <w:t xml:space="preserve"> iznosi 19.298 kuna viška prihoda i primitaka. Rezultat razvrstan prema aktivnostima je prikazan u Bilješci br.17.</w:t>
      </w:r>
    </w:p>
    <w:p w14:paraId="4148FBBF" w14:textId="77777777" w:rsidR="00D5337A" w:rsidRPr="004E60F5" w:rsidRDefault="00D5337A" w:rsidP="00D5337A">
      <w:pPr>
        <w:spacing w:after="0"/>
        <w:jc w:val="both"/>
        <w:rPr>
          <w:rFonts w:ascii="Calibri" w:hAnsi="Calibri" w:cs="Calibri"/>
          <w:b/>
          <w:color w:val="FF0000"/>
        </w:rPr>
      </w:pPr>
    </w:p>
    <w:p w14:paraId="27EEA0F6" w14:textId="5ECB7DE9" w:rsidR="00D5337A" w:rsidRPr="009E1159" w:rsidRDefault="00D5337A" w:rsidP="00D5337A">
      <w:pPr>
        <w:spacing w:after="0"/>
        <w:jc w:val="center"/>
        <w:rPr>
          <w:rFonts w:ascii="Calibri" w:hAnsi="Calibri" w:cs="Calibri"/>
          <w:b/>
        </w:rPr>
      </w:pPr>
      <w:r w:rsidRPr="009E1159">
        <w:rPr>
          <w:rFonts w:ascii="Calibri" w:hAnsi="Calibri" w:cs="Calibri"/>
          <w:b/>
        </w:rPr>
        <w:t>Bilješke uz obrazac Bilanca na dan 31.12.202</w:t>
      </w:r>
      <w:r w:rsidR="009E1159">
        <w:rPr>
          <w:rFonts w:ascii="Calibri" w:hAnsi="Calibri" w:cs="Calibri"/>
          <w:b/>
        </w:rPr>
        <w:t>1</w:t>
      </w:r>
      <w:r w:rsidRPr="009E1159">
        <w:rPr>
          <w:rFonts w:ascii="Calibri" w:hAnsi="Calibri" w:cs="Calibri"/>
          <w:b/>
        </w:rPr>
        <w:t>. godine</w:t>
      </w:r>
    </w:p>
    <w:p w14:paraId="08A1B74A" w14:textId="5B981246" w:rsidR="00D5337A" w:rsidRPr="00930D22" w:rsidRDefault="00D5337A" w:rsidP="00D5337A">
      <w:pPr>
        <w:spacing w:after="0"/>
        <w:jc w:val="both"/>
        <w:rPr>
          <w:rFonts w:ascii="Calibri" w:hAnsi="Calibri" w:cs="Calibri"/>
        </w:rPr>
      </w:pPr>
      <w:r w:rsidRPr="00930D22">
        <w:rPr>
          <w:rFonts w:ascii="Calibri" w:hAnsi="Calibri" w:cs="Calibri"/>
        </w:rPr>
        <w:t>U obrascu Bilanca stanja na dan 31.12.202</w:t>
      </w:r>
      <w:r w:rsidR="00930D22" w:rsidRPr="00930D22">
        <w:rPr>
          <w:rFonts w:ascii="Calibri" w:hAnsi="Calibri" w:cs="Calibri"/>
        </w:rPr>
        <w:t>1</w:t>
      </w:r>
      <w:r w:rsidRPr="00930D22">
        <w:rPr>
          <w:rFonts w:ascii="Calibri" w:hAnsi="Calibri" w:cs="Calibri"/>
        </w:rPr>
        <w:t>. godine, koji predstavlja vrijednosno iskazani pregled imovine, obveza i vlastitih izvora, ne postoje ugovorni odnosi koji uz ispunjenje određenih uvjeta mogu postati obveza ili imovina, te ne postoje nikakva dana ili dobivena jamstva, založna prava ili drugi instrumenti osiguranja plaćanja. Sadržaj evidencije sudskih sporova nije  prikazan jer se ne vode nikakvi sudski sporovi.</w:t>
      </w:r>
    </w:p>
    <w:p w14:paraId="3F015505" w14:textId="77777777" w:rsidR="00D5337A" w:rsidRPr="00930D22" w:rsidRDefault="00D5337A" w:rsidP="00D5337A">
      <w:pPr>
        <w:spacing w:after="0"/>
        <w:jc w:val="both"/>
        <w:rPr>
          <w:rFonts w:ascii="Calibri" w:hAnsi="Calibri" w:cs="Calibri"/>
        </w:rPr>
      </w:pPr>
    </w:p>
    <w:p w14:paraId="31277111" w14:textId="77777777" w:rsidR="00D5337A" w:rsidRPr="0017321F" w:rsidRDefault="00D5337A" w:rsidP="00D5337A">
      <w:pPr>
        <w:spacing w:after="0"/>
        <w:jc w:val="center"/>
        <w:rPr>
          <w:rFonts w:ascii="Calibri" w:hAnsi="Calibri" w:cs="Calibri"/>
        </w:rPr>
      </w:pPr>
      <w:r w:rsidRPr="0017321F">
        <w:rPr>
          <w:rFonts w:ascii="Calibri" w:hAnsi="Calibri" w:cs="Calibri"/>
        </w:rPr>
        <w:t>Bilješka 10.</w:t>
      </w:r>
    </w:p>
    <w:p w14:paraId="51296142" w14:textId="77777777" w:rsidR="00D5337A" w:rsidRPr="00154A7A" w:rsidRDefault="00D5337A" w:rsidP="00D5337A">
      <w:pPr>
        <w:spacing w:after="0"/>
        <w:jc w:val="center"/>
        <w:rPr>
          <w:rFonts w:ascii="Calibri" w:hAnsi="Calibri" w:cs="Calibri"/>
        </w:rPr>
      </w:pPr>
      <w:r w:rsidRPr="00485D15">
        <w:rPr>
          <w:rFonts w:ascii="Calibri" w:hAnsi="Calibri" w:cs="Calibri"/>
        </w:rPr>
        <w:t xml:space="preserve">AOP 002 - Nefinancijska </w:t>
      </w:r>
      <w:r w:rsidRPr="00154A7A">
        <w:rPr>
          <w:rFonts w:ascii="Calibri" w:hAnsi="Calibri" w:cs="Calibri"/>
        </w:rPr>
        <w:t>imovina</w:t>
      </w:r>
    </w:p>
    <w:p w14:paraId="3B84F0C7" w14:textId="1D6EAE36" w:rsidR="00D5337A" w:rsidRPr="00154A7A" w:rsidRDefault="003F4FD3" w:rsidP="00D5337A">
      <w:pPr>
        <w:spacing w:after="0"/>
        <w:jc w:val="both"/>
        <w:rPr>
          <w:rFonts w:ascii="Calibri" w:hAnsi="Calibri" w:cs="Calibri"/>
        </w:rPr>
      </w:pPr>
      <w:r w:rsidRPr="00154A7A">
        <w:rPr>
          <w:rFonts w:ascii="Calibri" w:hAnsi="Calibri" w:cs="Calibri"/>
        </w:rPr>
        <w:t>Duže vremensko razdoblje ni</w:t>
      </w:r>
      <w:r w:rsidR="00D5337A" w:rsidRPr="00154A7A">
        <w:rPr>
          <w:rFonts w:ascii="Calibri" w:hAnsi="Calibri" w:cs="Calibri"/>
        </w:rPr>
        <w:t>je bilo nabave dugotrajne imovine</w:t>
      </w:r>
      <w:r w:rsidRPr="00154A7A">
        <w:rPr>
          <w:rFonts w:ascii="Calibri" w:hAnsi="Calibri" w:cs="Calibri"/>
        </w:rPr>
        <w:t xml:space="preserve">, te </w:t>
      </w:r>
      <w:r w:rsidR="009E39A2" w:rsidRPr="00154A7A">
        <w:rPr>
          <w:rFonts w:ascii="Calibri" w:hAnsi="Calibri" w:cs="Calibri"/>
        </w:rPr>
        <w:t xml:space="preserve">je </w:t>
      </w:r>
      <w:r w:rsidRPr="00154A7A">
        <w:rPr>
          <w:rFonts w:ascii="Calibri" w:hAnsi="Calibri" w:cs="Calibri"/>
        </w:rPr>
        <w:t>imovina velikim dijelom već otpisana</w:t>
      </w:r>
      <w:r w:rsidR="00D5337A" w:rsidRPr="00154A7A">
        <w:rPr>
          <w:rFonts w:ascii="Calibri" w:hAnsi="Calibri" w:cs="Calibri"/>
        </w:rPr>
        <w:t>. Provedenim ispravkom vrijednosti</w:t>
      </w:r>
      <w:r w:rsidRPr="00154A7A">
        <w:rPr>
          <w:rFonts w:ascii="Calibri" w:hAnsi="Calibri" w:cs="Calibri"/>
        </w:rPr>
        <w:t xml:space="preserve"> u 2021. godini</w:t>
      </w:r>
      <w:r w:rsidR="00D5337A" w:rsidRPr="00154A7A">
        <w:rPr>
          <w:rFonts w:ascii="Calibri" w:hAnsi="Calibri" w:cs="Calibri"/>
        </w:rPr>
        <w:t xml:space="preserve"> ona je umanjena za </w:t>
      </w:r>
      <w:r w:rsidR="00154A7A">
        <w:rPr>
          <w:rFonts w:ascii="Calibri" w:hAnsi="Calibri" w:cs="Calibri"/>
        </w:rPr>
        <w:t xml:space="preserve">svega </w:t>
      </w:r>
      <w:r w:rsidRPr="00154A7A">
        <w:rPr>
          <w:rFonts w:ascii="Calibri" w:hAnsi="Calibri" w:cs="Calibri"/>
        </w:rPr>
        <w:t>2.822 kune</w:t>
      </w:r>
      <w:r w:rsidR="009E39A2" w:rsidRPr="00154A7A">
        <w:rPr>
          <w:rFonts w:ascii="Calibri" w:hAnsi="Calibri" w:cs="Calibri"/>
        </w:rPr>
        <w:t xml:space="preserve">, pa nabava novog računala i računalne opreme </w:t>
      </w:r>
      <w:r w:rsidR="00D5337A" w:rsidRPr="00154A7A">
        <w:rPr>
          <w:rFonts w:ascii="Calibri" w:hAnsi="Calibri" w:cs="Calibri"/>
        </w:rPr>
        <w:t>u odnosu na proteklu godinu</w:t>
      </w:r>
      <w:r w:rsidR="009E39A2" w:rsidRPr="00154A7A">
        <w:rPr>
          <w:rFonts w:ascii="Calibri" w:hAnsi="Calibri" w:cs="Calibri"/>
        </w:rPr>
        <w:t xml:space="preserve"> </w:t>
      </w:r>
      <w:r w:rsidR="00D5337A" w:rsidRPr="00154A7A">
        <w:rPr>
          <w:rFonts w:ascii="Calibri" w:hAnsi="Calibri" w:cs="Calibri"/>
        </w:rPr>
        <w:t>čini</w:t>
      </w:r>
      <w:r w:rsidR="008A3921">
        <w:rPr>
          <w:rFonts w:ascii="Calibri" w:hAnsi="Calibri" w:cs="Calibri"/>
        </w:rPr>
        <w:t xml:space="preserve"> značajno</w:t>
      </w:r>
      <w:r w:rsidR="009E39A2" w:rsidRPr="00154A7A">
        <w:rPr>
          <w:rFonts w:ascii="Calibri" w:hAnsi="Calibri" w:cs="Calibri"/>
        </w:rPr>
        <w:t xml:space="preserve"> povećanje imovine od 143</w:t>
      </w:r>
      <w:r w:rsidR="00D5337A" w:rsidRPr="00154A7A">
        <w:rPr>
          <w:rFonts w:ascii="Calibri" w:hAnsi="Calibri" w:cs="Calibri"/>
        </w:rPr>
        <w:t>%.</w:t>
      </w:r>
    </w:p>
    <w:p w14:paraId="7615C6ED" w14:textId="77777777" w:rsidR="00D5337A" w:rsidRPr="00154A7A" w:rsidRDefault="00D5337A" w:rsidP="00D5337A">
      <w:pPr>
        <w:spacing w:after="0"/>
        <w:jc w:val="center"/>
        <w:rPr>
          <w:rFonts w:ascii="Calibri" w:hAnsi="Calibri" w:cs="Calibri"/>
        </w:rPr>
      </w:pPr>
      <w:r w:rsidRPr="00154A7A">
        <w:rPr>
          <w:rFonts w:ascii="Calibri" w:hAnsi="Calibri" w:cs="Calibri"/>
        </w:rPr>
        <w:t xml:space="preserve"> </w:t>
      </w:r>
    </w:p>
    <w:p w14:paraId="3C7D5AA0" w14:textId="77777777" w:rsidR="00D5337A" w:rsidRPr="0017321F" w:rsidRDefault="00D5337A" w:rsidP="00D5337A">
      <w:pPr>
        <w:spacing w:after="0"/>
        <w:jc w:val="center"/>
        <w:rPr>
          <w:rFonts w:ascii="Calibri" w:hAnsi="Calibri" w:cs="Calibri"/>
        </w:rPr>
      </w:pPr>
      <w:r w:rsidRPr="0017321F">
        <w:rPr>
          <w:rFonts w:ascii="Calibri" w:hAnsi="Calibri" w:cs="Calibri"/>
        </w:rPr>
        <w:t>Bilješka 11.</w:t>
      </w:r>
    </w:p>
    <w:p w14:paraId="300A6E96" w14:textId="4249A749" w:rsidR="00D5337A" w:rsidRPr="009A25F8" w:rsidRDefault="00D5337A" w:rsidP="00D5337A">
      <w:pPr>
        <w:spacing w:after="0"/>
        <w:jc w:val="center"/>
        <w:rPr>
          <w:rFonts w:ascii="Calibri" w:hAnsi="Calibri" w:cs="Calibri"/>
        </w:rPr>
      </w:pPr>
      <w:r w:rsidRPr="009A25F8">
        <w:rPr>
          <w:rFonts w:ascii="Calibri" w:hAnsi="Calibri" w:cs="Calibri"/>
        </w:rPr>
        <w:t>AOP 06</w:t>
      </w:r>
      <w:r w:rsidR="00485D15" w:rsidRPr="009A25F8">
        <w:rPr>
          <w:rFonts w:ascii="Calibri" w:hAnsi="Calibri" w:cs="Calibri"/>
        </w:rPr>
        <w:t>4</w:t>
      </w:r>
      <w:r w:rsidRPr="009A25F8">
        <w:rPr>
          <w:rFonts w:ascii="Calibri" w:hAnsi="Calibri" w:cs="Calibri"/>
        </w:rPr>
        <w:t xml:space="preserve"> – Novac u banci i blagajni</w:t>
      </w:r>
    </w:p>
    <w:p w14:paraId="1B414EC1" w14:textId="2799C02D" w:rsidR="00D5337A" w:rsidRPr="00E87A39" w:rsidRDefault="00D5337A" w:rsidP="00D5337A">
      <w:pPr>
        <w:spacing w:after="0"/>
        <w:jc w:val="both"/>
        <w:rPr>
          <w:rFonts w:ascii="Calibri" w:hAnsi="Calibri" w:cs="Calibri"/>
        </w:rPr>
      </w:pPr>
      <w:r w:rsidRPr="00E87A39">
        <w:rPr>
          <w:rFonts w:ascii="Calibri" w:hAnsi="Calibri" w:cs="Calibri"/>
        </w:rPr>
        <w:t>Stanje novčanih sredstava na dan 31.12.202</w:t>
      </w:r>
      <w:r w:rsidR="00154A7A" w:rsidRPr="00E87A39">
        <w:rPr>
          <w:rFonts w:ascii="Calibri" w:hAnsi="Calibri" w:cs="Calibri"/>
        </w:rPr>
        <w:t>1</w:t>
      </w:r>
      <w:r w:rsidRPr="00E87A39">
        <w:rPr>
          <w:rFonts w:ascii="Calibri" w:hAnsi="Calibri" w:cs="Calibri"/>
        </w:rPr>
        <w:t xml:space="preserve">. godine iskazano na ovom AOP-u odnosi se na novac na računima banaka, i to: </w:t>
      </w:r>
    </w:p>
    <w:p w14:paraId="337708EC" w14:textId="063D3D87" w:rsidR="00D5337A" w:rsidRPr="00E87A39" w:rsidRDefault="00D5337A" w:rsidP="00D5337A">
      <w:pPr>
        <w:spacing w:after="0"/>
        <w:jc w:val="both"/>
        <w:rPr>
          <w:rFonts w:ascii="Calibri" w:hAnsi="Calibri" w:cs="Calibri"/>
        </w:rPr>
      </w:pPr>
      <w:r w:rsidRPr="00E87A39">
        <w:rPr>
          <w:rFonts w:ascii="Calibri" w:hAnsi="Calibri" w:cs="Calibri"/>
        </w:rPr>
        <w:t>OTP banka</w:t>
      </w:r>
      <w:r w:rsidRPr="00E87A39">
        <w:rPr>
          <w:rFonts w:ascii="Calibri" w:hAnsi="Calibri" w:cs="Calibri"/>
        </w:rPr>
        <w:tab/>
        <w:t>IBAN: 1224070001100124755</w:t>
      </w:r>
      <w:r w:rsidR="00154A7A" w:rsidRPr="00E87A39">
        <w:rPr>
          <w:rFonts w:ascii="Calibri" w:hAnsi="Calibri" w:cs="Calibri"/>
        </w:rPr>
        <w:tab/>
      </w:r>
      <w:r w:rsidR="00154A7A" w:rsidRPr="00E87A39">
        <w:rPr>
          <w:rFonts w:ascii="Calibri" w:hAnsi="Calibri" w:cs="Calibri"/>
        </w:rPr>
        <w:tab/>
        <w:t>1.591,81</w:t>
      </w:r>
      <w:r w:rsidRPr="00E87A39">
        <w:rPr>
          <w:rFonts w:ascii="Calibri" w:hAnsi="Calibri" w:cs="Calibri"/>
        </w:rPr>
        <w:t xml:space="preserve"> kuna</w:t>
      </w:r>
    </w:p>
    <w:p w14:paraId="789E1228" w14:textId="60991D7F" w:rsidR="00D5337A" w:rsidRPr="00E87A39" w:rsidRDefault="00D5337A" w:rsidP="00D5337A">
      <w:pPr>
        <w:spacing w:after="0"/>
        <w:jc w:val="both"/>
        <w:rPr>
          <w:rFonts w:ascii="Calibri" w:hAnsi="Calibri" w:cs="Calibri"/>
        </w:rPr>
      </w:pPr>
      <w:r w:rsidRPr="00E87A39">
        <w:rPr>
          <w:rFonts w:ascii="Calibri" w:hAnsi="Calibri" w:cs="Calibri"/>
        </w:rPr>
        <w:t>Erste banka</w:t>
      </w:r>
      <w:r w:rsidRPr="00E87A39">
        <w:rPr>
          <w:rFonts w:ascii="Calibri" w:hAnsi="Calibri" w:cs="Calibri"/>
        </w:rPr>
        <w:tab/>
        <w:t>IBAN: 1024020061100886798</w:t>
      </w:r>
      <w:r w:rsidR="00154A7A" w:rsidRPr="00E87A39">
        <w:rPr>
          <w:rFonts w:ascii="Calibri" w:hAnsi="Calibri" w:cs="Calibri"/>
        </w:rPr>
        <w:tab/>
        <w:t xml:space="preserve">            69.256,54</w:t>
      </w:r>
      <w:r w:rsidRPr="00E87A39">
        <w:rPr>
          <w:rFonts w:ascii="Calibri" w:hAnsi="Calibri" w:cs="Calibri"/>
        </w:rPr>
        <w:t xml:space="preserve"> kune</w:t>
      </w:r>
    </w:p>
    <w:p w14:paraId="28B73CFE" w14:textId="529E5123" w:rsidR="00E51D9A" w:rsidRPr="009A25F8" w:rsidRDefault="00154A7A" w:rsidP="00D5337A">
      <w:pPr>
        <w:spacing w:after="0"/>
        <w:jc w:val="both"/>
        <w:rPr>
          <w:rFonts w:ascii="Calibri" w:hAnsi="Calibri" w:cs="Calibri"/>
        </w:rPr>
      </w:pPr>
      <w:r w:rsidRPr="00E87A39">
        <w:rPr>
          <w:rFonts w:ascii="Calibri" w:hAnsi="Calibri" w:cs="Calibri"/>
        </w:rPr>
        <w:t>Usklađeni su s bankovnim izvodima</w:t>
      </w:r>
      <w:r w:rsidR="00485D15">
        <w:rPr>
          <w:rFonts w:ascii="Calibri" w:hAnsi="Calibri" w:cs="Calibri"/>
        </w:rPr>
        <w:t>.</w:t>
      </w:r>
      <w:r w:rsidR="00E51D9A">
        <w:rPr>
          <w:rFonts w:ascii="Calibri" w:hAnsi="Calibri" w:cs="Calibri"/>
        </w:rPr>
        <w:t xml:space="preserve"> Iznos od 37.160,41 kun</w:t>
      </w:r>
      <w:r w:rsidR="009A25F8">
        <w:rPr>
          <w:rFonts w:ascii="Calibri" w:hAnsi="Calibri" w:cs="Calibri"/>
        </w:rPr>
        <w:t>a</w:t>
      </w:r>
      <w:r w:rsidR="00E51D9A">
        <w:rPr>
          <w:rFonts w:ascii="Calibri" w:hAnsi="Calibri" w:cs="Calibri"/>
        </w:rPr>
        <w:t xml:space="preserve"> </w:t>
      </w:r>
      <w:r w:rsidR="00E51D9A" w:rsidRPr="009A25F8">
        <w:rPr>
          <w:rFonts w:ascii="Calibri" w:hAnsi="Calibri" w:cs="Calibri"/>
        </w:rPr>
        <w:t xml:space="preserve">odnosi se na </w:t>
      </w:r>
      <w:r w:rsidR="00E51D9A" w:rsidRPr="009A25F8">
        <w:rPr>
          <w:rFonts w:ascii="Calibri" w:hAnsi="Calibri" w:cs="Calibri"/>
          <w:bCs/>
        </w:rPr>
        <w:t>upla</w:t>
      </w:r>
      <w:r w:rsidR="00E51D9A" w:rsidRPr="009A25F8">
        <w:rPr>
          <w:rFonts w:ascii="Calibri" w:hAnsi="Calibri" w:cs="Calibri"/>
          <w:bCs/>
        </w:rPr>
        <w:t>ćena</w:t>
      </w:r>
      <w:r w:rsidR="00E51D9A" w:rsidRPr="009A25F8">
        <w:rPr>
          <w:rFonts w:ascii="Calibri" w:hAnsi="Calibri" w:cs="Calibri"/>
          <w:bCs/>
        </w:rPr>
        <w:t xml:space="preserve"> sredstava od HZZ-a za rad pripravnice koji će biti utrošeni tijekom 2022. godine.</w:t>
      </w:r>
    </w:p>
    <w:p w14:paraId="632B9339" w14:textId="77777777" w:rsidR="00D5337A" w:rsidRPr="00E87A39" w:rsidRDefault="00D5337A" w:rsidP="00D5337A">
      <w:pPr>
        <w:spacing w:after="0"/>
        <w:jc w:val="both"/>
        <w:rPr>
          <w:rFonts w:ascii="Calibri" w:hAnsi="Calibri" w:cs="Calibri"/>
        </w:rPr>
      </w:pPr>
    </w:p>
    <w:p w14:paraId="19BBD3F1" w14:textId="659A1E32" w:rsidR="00D5337A" w:rsidRPr="0017321F" w:rsidRDefault="00D5337A" w:rsidP="00EF27BD">
      <w:pPr>
        <w:spacing w:after="0"/>
        <w:jc w:val="center"/>
        <w:rPr>
          <w:rFonts w:ascii="Calibri" w:hAnsi="Calibri" w:cs="Calibri"/>
        </w:rPr>
      </w:pPr>
      <w:r w:rsidRPr="0017321F">
        <w:rPr>
          <w:rFonts w:ascii="Calibri" w:hAnsi="Calibri" w:cs="Calibri"/>
        </w:rPr>
        <w:t>Bilješka 12.</w:t>
      </w:r>
    </w:p>
    <w:p w14:paraId="55BE7D0C" w14:textId="0E5DBD88" w:rsidR="00D5337A" w:rsidRPr="00485D15" w:rsidRDefault="00D5337A" w:rsidP="00D5337A">
      <w:pPr>
        <w:spacing w:after="0"/>
        <w:jc w:val="center"/>
        <w:rPr>
          <w:rFonts w:ascii="Calibri" w:hAnsi="Calibri" w:cs="Calibri"/>
        </w:rPr>
      </w:pPr>
      <w:r w:rsidRPr="00485D15">
        <w:rPr>
          <w:rFonts w:ascii="Calibri" w:hAnsi="Calibri" w:cs="Calibri"/>
        </w:rPr>
        <w:t>AOP 0</w:t>
      </w:r>
      <w:r w:rsidR="00E87A39" w:rsidRPr="00485D15">
        <w:rPr>
          <w:rFonts w:ascii="Calibri" w:hAnsi="Calibri" w:cs="Calibri"/>
        </w:rPr>
        <w:t>81</w:t>
      </w:r>
      <w:r w:rsidRPr="00485D15">
        <w:rPr>
          <w:rFonts w:ascii="Calibri" w:hAnsi="Calibri" w:cs="Calibri"/>
        </w:rPr>
        <w:t xml:space="preserve"> – </w:t>
      </w:r>
      <w:r w:rsidR="00E87A39" w:rsidRPr="00485D15">
        <w:rPr>
          <w:rFonts w:ascii="Calibri" w:hAnsi="Calibri" w:cs="Calibri"/>
        </w:rPr>
        <w:t>Ostala potraživanja</w:t>
      </w:r>
    </w:p>
    <w:p w14:paraId="07D00D8E" w14:textId="3854496A" w:rsidR="00D5337A" w:rsidRPr="004C6133" w:rsidRDefault="00D5337A" w:rsidP="00D5337A">
      <w:pPr>
        <w:spacing w:after="0"/>
        <w:jc w:val="both"/>
        <w:rPr>
          <w:rFonts w:ascii="Calibri" w:hAnsi="Calibri" w:cs="Calibri"/>
        </w:rPr>
      </w:pPr>
      <w:r w:rsidRPr="004C6133">
        <w:rPr>
          <w:rFonts w:ascii="Calibri" w:hAnsi="Calibri" w:cs="Calibri"/>
        </w:rPr>
        <w:t xml:space="preserve">Odnose se na potraživanje naknade za bolovanje od HZZO-a za djelatnicu koja je na bolovanju na teret Fonda </w:t>
      </w:r>
      <w:r w:rsidR="004C6133" w:rsidRPr="004C6133">
        <w:rPr>
          <w:rFonts w:ascii="Calibri" w:hAnsi="Calibri" w:cs="Calibri"/>
        </w:rPr>
        <w:t>za studeni i prosinac 2021. godine.</w:t>
      </w:r>
      <w:r w:rsidRPr="004C6133">
        <w:rPr>
          <w:rFonts w:ascii="Calibri" w:hAnsi="Calibri" w:cs="Calibri"/>
        </w:rPr>
        <w:t xml:space="preserve"> </w:t>
      </w:r>
    </w:p>
    <w:p w14:paraId="53A4AC0B" w14:textId="77777777" w:rsidR="00D5337A" w:rsidRPr="004E60F5" w:rsidRDefault="00D5337A" w:rsidP="00D5337A">
      <w:pPr>
        <w:spacing w:after="0"/>
        <w:jc w:val="center"/>
        <w:rPr>
          <w:rFonts w:ascii="Calibri" w:hAnsi="Calibri" w:cs="Calibri"/>
          <w:color w:val="FF0000"/>
        </w:rPr>
      </w:pPr>
    </w:p>
    <w:p w14:paraId="6F690952" w14:textId="77777777" w:rsidR="00D5337A" w:rsidRPr="00EF27BD" w:rsidRDefault="00D5337A" w:rsidP="00D5337A">
      <w:pPr>
        <w:spacing w:after="0"/>
        <w:jc w:val="center"/>
        <w:rPr>
          <w:rFonts w:ascii="Calibri" w:hAnsi="Calibri" w:cs="Calibri"/>
        </w:rPr>
      </w:pPr>
      <w:r w:rsidRPr="00EF27BD">
        <w:rPr>
          <w:rFonts w:ascii="Calibri" w:hAnsi="Calibri" w:cs="Calibri"/>
        </w:rPr>
        <w:t>Bilješka 13.</w:t>
      </w:r>
    </w:p>
    <w:p w14:paraId="2B977B23" w14:textId="77777777" w:rsidR="00D5337A" w:rsidRPr="004E60F5" w:rsidRDefault="00D5337A" w:rsidP="00D5337A">
      <w:pPr>
        <w:spacing w:after="0"/>
        <w:jc w:val="center"/>
        <w:rPr>
          <w:rFonts w:ascii="Calibri" w:hAnsi="Calibri" w:cs="Calibri"/>
          <w:color w:val="FF0000"/>
        </w:rPr>
      </w:pPr>
      <w:r w:rsidRPr="00485D15">
        <w:rPr>
          <w:rFonts w:ascii="Calibri" w:hAnsi="Calibri" w:cs="Calibri"/>
        </w:rPr>
        <w:t xml:space="preserve">AOP 141 – Potraživanje </w:t>
      </w:r>
      <w:r w:rsidRPr="004C6133">
        <w:rPr>
          <w:rFonts w:ascii="Calibri" w:hAnsi="Calibri" w:cs="Calibri"/>
        </w:rPr>
        <w:t>za prihode poslovanja</w:t>
      </w:r>
    </w:p>
    <w:p w14:paraId="6D5BBA5D" w14:textId="47995E28" w:rsidR="00D5337A" w:rsidRPr="00B971C3" w:rsidRDefault="00D5337A" w:rsidP="00D5337A">
      <w:pPr>
        <w:spacing w:after="0"/>
        <w:jc w:val="both"/>
        <w:rPr>
          <w:rFonts w:ascii="Calibri" w:hAnsi="Calibri" w:cs="Calibri"/>
        </w:rPr>
      </w:pPr>
      <w:r w:rsidRPr="00B971C3">
        <w:rPr>
          <w:rFonts w:ascii="Calibri" w:hAnsi="Calibri" w:cs="Calibri"/>
        </w:rPr>
        <w:t>Odnos</w:t>
      </w:r>
      <w:r w:rsidR="00B971C3" w:rsidRPr="00B971C3">
        <w:rPr>
          <w:rFonts w:ascii="Calibri" w:hAnsi="Calibri" w:cs="Calibri"/>
        </w:rPr>
        <w:t>i</w:t>
      </w:r>
      <w:r w:rsidRPr="00B971C3">
        <w:rPr>
          <w:rFonts w:ascii="Calibri" w:hAnsi="Calibri" w:cs="Calibri"/>
        </w:rPr>
        <w:t xml:space="preserve"> se na potraživanj</w:t>
      </w:r>
      <w:r w:rsidR="00B971C3" w:rsidRPr="00B971C3">
        <w:rPr>
          <w:rFonts w:ascii="Calibri" w:hAnsi="Calibri" w:cs="Calibri"/>
        </w:rPr>
        <w:t>e</w:t>
      </w:r>
      <w:r w:rsidR="004C6133" w:rsidRPr="00B971C3">
        <w:rPr>
          <w:rFonts w:ascii="Calibri" w:hAnsi="Calibri" w:cs="Calibri"/>
        </w:rPr>
        <w:t xml:space="preserve"> od Općine Sali</w:t>
      </w:r>
      <w:r w:rsidRPr="00B971C3">
        <w:rPr>
          <w:rFonts w:ascii="Calibri" w:hAnsi="Calibri" w:cs="Calibri"/>
        </w:rPr>
        <w:t xml:space="preserve"> s osnove sufinanciranja roditelja za smještaj djece u vrtiću. Cjelokupni iznos iskazan na ovom AOP-u odnosi se na naknadu za pruženu uslugu u </w:t>
      </w:r>
      <w:r w:rsidR="004C6133" w:rsidRPr="00B971C3">
        <w:rPr>
          <w:rFonts w:ascii="Calibri" w:hAnsi="Calibri" w:cs="Calibri"/>
        </w:rPr>
        <w:t>travnju</w:t>
      </w:r>
      <w:r w:rsidRPr="00B971C3">
        <w:rPr>
          <w:rFonts w:ascii="Calibri" w:hAnsi="Calibri" w:cs="Calibri"/>
        </w:rPr>
        <w:t xml:space="preserve"> i prosincu 202</w:t>
      </w:r>
      <w:r w:rsidR="004C6133" w:rsidRPr="00B971C3">
        <w:rPr>
          <w:rFonts w:ascii="Calibri" w:hAnsi="Calibri" w:cs="Calibri"/>
        </w:rPr>
        <w:t>1</w:t>
      </w:r>
      <w:r w:rsidRPr="00B971C3">
        <w:rPr>
          <w:rFonts w:ascii="Calibri" w:hAnsi="Calibri" w:cs="Calibri"/>
        </w:rPr>
        <w:t>. godine</w:t>
      </w:r>
      <w:r w:rsidR="004C6133" w:rsidRPr="00B971C3">
        <w:rPr>
          <w:rFonts w:ascii="Calibri" w:hAnsi="Calibri" w:cs="Calibri"/>
        </w:rPr>
        <w:t>, a</w:t>
      </w:r>
      <w:r w:rsidR="00B971C3" w:rsidRPr="00B971C3">
        <w:rPr>
          <w:rFonts w:ascii="Calibri" w:hAnsi="Calibri" w:cs="Calibri"/>
        </w:rPr>
        <w:t xml:space="preserve"> cjelokupni iznos je</w:t>
      </w:r>
      <w:r w:rsidR="004C6133" w:rsidRPr="00B971C3">
        <w:rPr>
          <w:rFonts w:ascii="Calibri" w:hAnsi="Calibri" w:cs="Calibri"/>
        </w:rPr>
        <w:t xml:space="preserve"> </w:t>
      </w:r>
      <w:r w:rsidRPr="00B971C3">
        <w:rPr>
          <w:rFonts w:ascii="Calibri" w:hAnsi="Calibri" w:cs="Calibri"/>
        </w:rPr>
        <w:t>naplaćen</w:t>
      </w:r>
      <w:r w:rsidR="00B971C3" w:rsidRPr="00B971C3">
        <w:rPr>
          <w:rFonts w:ascii="Calibri" w:hAnsi="Calibri" w:cs="Calibri"/>
        </w:rPr>
        <w:t xml:space="preserve"> </w:t>
      </w:r>
      <w:r w:rsidRPr="00B971C3">
        <w:rPr>
          <w:rFonts w:ascii="Calibri" w:hAnsi="Calibri" w:cs="Calibri"/>
        </w:rPr>
        <w:t>u siječnju 202</w:t>
      </w:r>
      <w:r w:rsidR="00B363C2">
        <w:rPr>
          <w:rFonts w:ascii="Calibri" w:hAnsi="Calibri" w:cs="Calibri"/>
        </w:rPr>
        <w:t>2</w:t>
      </w:r>
      <w:r w:rsidRPr="00B971C3">
        <w:rPr>
          <w:rFonts w:ascii="Calibri" w:hAnsi="Calibri" w:cs="Calibri"/>
        </w:rPr>
        <w:t xml:space="preserve">. godine. </w:t>
      </w:r>
      <w:r w:rsidR="00E57289">
        <w:rPr>
          <w:rFonts w:ascii="Calibri" w:hAnsi="Calibri" w:cs="Calibri"/>
        </w:rPr>
        <w:t>Potraživanja su umanjena u odnosu na početak godine za 30% zbog redovitijeg podmirenja potraživanja.</w:t>
      </w:r>
    </w:p>
    <w:p w14:paraId="73097B04" w14:textId="77777777" w:rsidR="00D5337A" w:rsidRPr="004E60F5" w:rsidRDefault="00D5337A" w:rsidP="00D5337A">
      <w:pPr>
        <w:spacing w:after="0"/>
        <w:jc w:val="both"/>
        <w:rPr>
          <w:rFonts w:ascii="Calibri" w:hAnsi="Calibri" w:cs="Calibri"/>
          <w:color w:val="FF0000"/>
        </w:rPr>
      </w:pPr>
    </w:p>
    <w:p w14:paraId="4DC144C2" w14:textId="77777777" w:rsidR="00D5337A" w:rsidRPr="00EF27BD" w:rsidRDefault="00D5337A" w:rsidP="00D5337A">
      <w:pPr>
        <w:spacing w:after="0"/>
        <w:jc w:val="center"/>
        <w:rPr>
          <w:rFonts w:ascii="Calibri" w:hAnsi="Calibri" w:cs="Calibri"/>
        </w:rPr>
      </w:pPr>
      <w:r w:rsidRPr="00EF27BD">
        <w:rPr>
          <w:rFonts w:ascii="Calibri" w:hAnsi="Calibri" w:cs="Calibri"/>
        </w:rPr>
        <w:t>Bilješka 14.</w:t>
      </w:r>
    </w:p>
    <w:p w14:paraId="0A77AD82" w14:textId="4B747010" w:rsidR="00D5337A" w:rsidRPr="004E60F5" w:rsidRDefault="00D5337A" w:rsidP="00D5337A">
      <w:pPr>
        <w:spacing w:after="0"/>
        <w:jc w:val="center"/>
        <w:rPr>
          <w:rFonts w:ascii="Calibri" w:hAnsi="Calibri" w:cs="Calibri"/>
          <w:color w:val="FF0000"/>
        </w:rPr>
      </w:pPr>
      <w:r w:rsidRPr="00485D15">
        <w:rPr>
          <w:rFonts w:ascii="Calibri" w:hAnsi="Calibri" w:cs="Calibri"/>
        </w:rPr>
        <w:t>AOP 15</w:t>
      </w:r>
      <w:r w:rsidR="00B971C3" w:rsidRPr="00485D15">
        <w:rPr>
          <w:rFonts w:ascii="Calibri" w:hAnsi="Calibri" w:cs="Calibri"/>
        </w:rPr>
        <w:t>8</w:t>
      </w:r>
      <w:r w:rsidRPr="00485D15">
        <w:rPr>
          <w:rFonts w:ascii="Calibri" w:hAnsi="Calibri" w:cs="Calibri"/>
        </w:rPr>
        <w:t xml:space="preserve"> </w:t>
      </w:r>
      <w:r w:rsidR="00B971C3" w:rsidRPr="00485D15">
        <w:rPr>
          <w:rFonts w:ascii="Calibri" w:hAnsi="Calibri" w:cs="Calibri"/>
        </w:rPr>
        <w:t xml:space="preserve">- </w:t>
      </w:r>
      <w:r w:rsidRPr="00485D15">
        <w:rPr>
          <w:rFonts w:ascii="Calibri" w:hAnsi="Calibri" w:cs="Calibri"/>
        </w:rPr>
        <w:t xml:space="preserve">Ispravak </w:t>
      </w:r>
      <w:r w:rsidRPr="00B971C3">
        <w:rPr>
          <w:rFonts w:ascii="Calibri" w:hAnsi="Calibri" w:cs="Calibri"/>
        </w:rPr>
        <w:t>vrijednosti potraživanja</w:t>
      </w:r>
    </w:p>
    <w:p w14:paraId="2C47FE56" w14:textId="75FE816E" w:rsidR="00D5337A" w:rsidRPr="00297931" w:rsidRDefault="00D5337A" w:rsidP="00D5337A">
      <w:pPr>
        <w:spacing w:after="0"/>
        <w:jc w:val="both"/>
        <w:rPr>
          <w:rFonts w:ascii="Calibri" w:hAnsi="Calibri" w:cs="Calibri"/>
        </w:rPr>
      </w:pPr>
      <w:r w:rsidRPr="00297931">
        <w:rPr>
          <w:rFonts w:ascii="Calibri" w:hAnsi="Calibri" w:cs="Calibri"/>
        </w:rPr>
        <w:t xml:space="preserve">Sukladno članku 37.a Pravilnika o izmjenama i dopunama Pravilnika o proračunskom računovodstvu nije proveden ispravak vrijednosti potraživanja jer nema kašnjenja u naplati preko godine dana, kao ni </w:t>
      </w:r>
      <w:r w:rsidR="00297931">
        <w:rPr>
          <w:rFonts w:ascii="Calibri" w:hAnsi="Calibri" w:cs="Calibri"/>
        </w:rPr>
        <w:t xml:space="preserve">dužnika nad kojim je pokrenut </w:t>
      </w:r>
      <w:r w:rsidRPr="00297931">
        <w:rPr>
          <w:rFonts w:ascii="Calibri" w:hAnsi="Calibri" w:cs="Calibri"/>
        </w:rPr>
        <w:t>stečajn</w:t>
      </w:r>
      <w:r w:rsidR="00297931">
        <w:rPr>
          <w:rFonts w:ascii="Calibri" w:hAnsi="Calibri" w:cs="Calibri"/>
        </w:rPr>
        <w:t>i</w:t>
      </w:r>
      <w:r w:rsidRPr="00297931">
        <w:rPr>
          <w:rFonts w:ascii="Calibri" w:hAnsi="Calibri" w:cs="Calibri"/>
        </w:rPr>
        <w:t xml:space="preserve"> ili likvidacijsk</w:t>
      </w:r>
      <w:r w:rsidR="00297931">
        <w:rPr>
          <w:rFonts w:ascii="Calibri" w:hAnsi="Calibri" w:cs="Calibri"/>
        </w:rPr>
        <w:t>i</w:t>
      </w:r>
      <w:r w:rsidRPr="00297931">
        <w:rPr>
          <w:rFonts w:ascii="Calibri" w:hAnsi="Calibri" w:cs="Calibri"/>
        </w:rPr>
        <w:t xml:space="preserve"> postup</w:t>
      </w:r>
      <w:r w:rsidR="00297931">
        <w:rPr>
          <w:rFonts w:ascii="Calibri" w:hAnsi="Calibri" w:cs="Calibri"/>
        </w:rPr>
        <w:t>a</w:t>
      </w:r>
      <w:r w:rsidRPr="00297931">
        <w:rPr>
          <w:rFonts w:ascii="Calibri" w:hAnsi="Calibri" w:cs="Calibri"/>
        </w:rPr>
        <w:t xml:space="preserve">k. </w:t>
      </w:r>
    </w:p>
    <w:p w14:paraId="32FCC8DF" w14:textId="77777777" w:rsidR="00D5337A" w:rsidRPr="00297931" w:rsidRDefault="00D5337A" w:rsidP="00D5337A">
      <w:pPr>
        <w:spacing w:after="0"/>
        <w:jc w:val="both"/>
        <w:rPr>
          <w:rFonts w:ascii="Calibri" w:hAnsi="Calibri" w:cs="Calibri"/>
        </w:rPr>
      </w:pPr>
    </w:p>
    <w:p w14:paraId="26B2D8C6" w14:textId="77777777" w:rsidR="00D5337A" w:rsidRPr="00EF27BD" w:rsidRDefault="00D5337A" w:rsidP="00D5337A">
      <w:pPr>
        <w:spacing w:after="0"/>
        <w:jc w:val="center"/>
        <w:rPr>
          <w:rFonts w:ascii="Calibri" w:hAnsi="Calibri" w:cs="Calibri"/>
        </w:rPr>
      </w:pPr>
      <w:r w:rsidRPr="00EF27BD">
        <w:rPr>
          <w:rFonts w:ascii="Calibri" w:hAnsi="Calibri" w:cs="Calibri"/>
        </w:rPr>
        <w:t>Bilješka 15.</w:t>
      </w:r>
    </w:p>
    <w:p w14:paraId="3632DB87" w14:textId="7929D87E" w:rsidR="00D5337A" w:rsidRPr="00485D15" w:rsidRDefault="00D5337A" w:rsidP="00D5337A">
      <w:pPr>
        <w:spacing w:after="0"/>
        <w:jc w:val="center"/>
        <w:rPr>
          <w:rFonts w:ascii="Calibri" w:hAnsi="Calibri" w:cs="Calibri"/>
        </w:rPr>
      </w:pPr>
      <w:r w:rsidRPr="00485D15">
        <w:rPr>
          <w:rFonts w:ascii="Calibri" w:hAnsi="Calibri" w:cs="Calibri"/>
        </w:rPr>
        <w:t>AOP 1</w:t>
      </w:r>
      <w:r w:rsidR="00917A22" w:rsidRPr="00485D15">
        <w:rPr>
          <w:rFonts w:ascii="Calibri" w:hAnsi="Calibri" w:cs="Calibri"/>
        </w:rPr>
        <w:t>70</w:t>
      </w:r>
      <w:r w:rsidRPr="00485D15">
        <w:rPr>
          <w:rFonts w:ascii="Calibri" w:hAnsi="Calibri" w:cs="Calibri"/>
        </w:rPr>
        <w:t xml:space="preserve"> – Obveze</w:t>
      </w:r>
    </w:p>
    <w:p w14:paraId="51A0AF5C" w14:textId="34AEBB2B" w:rsidR="00297931" w:rsidRPr="00917A22" w:rsidRDefault="00D5337A" w:rsidP="00297931">
      <w:pPr>
        <w:spacing w:after="0"/>
        <w:jc w:val="both"/>
        <w:rPr>
          <w:rFonts w:ascii="Calibri" w:hAnsi="Calibri" w:cs="Calibri"/>
        </w:rPr>
      </w:pPr>
      <w:r w:rsidRPr="00917A22">
        <w:rPr>
          <w:rFonts w:ascii="Calibri" w:hAnsi="Calibri" w:cs="Calibri"/>
        </w:rPr>
        <w:t xml:space="preserve">Ukupne obveze iznose </w:t>
      </w:r>
      <w:r w:rsidR="00B363C2" w:rsidRPr="00917A22">
        <w:rPr>
          <w:rFonts w:ascii="Calibri" w:hAnsi="Calibri" w:cs="Calibri"/>
        </w:rPr>
        <w:t>57.936</w:t>
      </w:r>
      <w:r w:rsidRPr="00917A22">
        <w:rPr>
          <w:rFonts w:ascii="Calibri" w:hAnsi="Calibri" w:cs="Calibri"/>
        </w:rPr>
        <w:t xml:space="preserve"> kuna. </w:t>
      </w:r>
      <w:r w:rsidR="00B363C2" w:rsidRPr="00917A22">
        <w:rPr>
          <w:rFonts w:ascii="Calibri" w:hAnsi="Calibri" w:cs="Calibri"/>
        </w:rPr>
        <w:t>Uvećane</w:t>
      </w:r>
      <w:r w:rsidRPr="00917A22">
        <w:rPr>
          <w:rFonts w:ascii="Calibri" w:hAnsi="Calibri" w:cs="Calibri"/>
        </w:rPr>
        <w:t xml:space="preserve"> su u odnosu na proteklu godinu za </w:t>
      </w:r>
      <w:r w:rsidR="00B363C2" w:rsidRPr="00917A22">
        <w:rPr>
          <w:rFonts w:ascii="Calibri" w:hAnsi="Calibri" w:cs="Calibri"/>
        </w:rPr>
        <w:t>25</w:t>
      </w:r>
      <w:r w:rsidRPr="00917A22">
        <w:rPr>
          <w:rFonts w:ascii="Calibri" w:hAnsi="Calibri" w:cs="Calibri"/>
        </w:rPr>
        <w:t>%. 9</w:t>
      </w:r>
      <w:r w:rsidR="00B363C2" w:rsidRPr="00917A22">
        <w:rPr>
          <w:rFonts w:ascii="Calibri" w:hAnsi="Calibri" w:cs="Calibri"/>
        </w:rPr>
        <w:t>1,5</w:t>
      </w:r>
      <w:r w:rsidRPr="00917A22">
        <w:rPr>
          <w:rFonts w:ascii="Calibri" w:hAnsi="Calibri" w:cs="Calibri"/>
        </w:rPr>
        <w:t xml:space="preserve">% obveza čine obveze za zaposlene, </w:t>
      </w:r>
      <w:r w:rsidR="00B363C2" w:rsidRPr="00917A22">
        <w:rPr>
          <w:rFonts w:ascii="Calibri" w:hAnsi="Calibri" w:cs="Calibri"/>
        </w:rPr>
        <w:t>8</w:t>
      </w:r>
      <w:r w:rsidRPr="00917A22">
        <w:rPr>
          <w:rFonts w:ascii="Calibri" w:hAnsi="Calibri" w:cs="Calibri"/>
        </w:rPr>
        <w:t>% obveza čine obveze za materijalne rashode, te 0,5% obveze za financijske rashode. Sve obveze spadaju u nedospjele, te su podmirene u siječnju 202</w:t>
      </w:r>
      <w:r w:rsidR="00B363C2" w:rsidRPr="00917A22">
        <w:rPr>
          <w:rFonts w:ascii="Calibri" w:hAnsi="Calibri" w:cs="Calibri"/>
        </w:rPr>
        <w:t>2</w:t>
      </w:r>
      <w:r w:rsidRPr="00917A22">
        <w:rPr>
          <w:rFonts w:ascii="Calibri" w:hAnsi="Calibri" w:cs="Calibri"/>
        </w:rPr>
        <w:t>. godine.</w:t>
      </w:r>
      <w:r w:rsidR="009D788A" w:rsidRPr="00917A22">
        <w:rPr>
          <w:rFonts w:ascii="Calibri" w:hAnsi="Calibri" w:cs="Calibri"/>
        </w:rPr>
        <w:t xml:space="preserve"> Povećanje obveza u odnosu na proteklu godinu najvećim dijelom je nastalo zbog zapošljavanja djelatnica na zamjenama</w:t>
      </w:r>
      <w:r w:rsidR="00917A22" w:rsidRPr="00917A22">
        <w:rPr>
          <w:rFonts w:ascii="Calibri" w:hAnsi="Calibri" w:cs="Calibri"/>
        </w:rPr>
        <w:t xml:space="preserve">, </w:t>
      </w:r>
      <w:r w:rsidR="00917A22" w:rsidRPr="00917A22">
        <w:rPr>
          <w:rFonts w:ascii="Calibri" w:hAnsi="Calibri" w:cs="Calibri"/>
        </w:rPr>
        <w:lastRenderedPageBreak/>
        <w:t xml:space="preserve">a s time i većih isplata ostalih rashoda za zaposlene i većih naknada troškova zaposlenima. </w:t>
      </w:r>
      <w:r w:rsidR="009D788A" w:rsidRPr="00917A22">
        <w:rPr>
          <w:rFonts w:ascii="Calibri" w:hAnsi="Calibri" w:cs="Calibri"/>
        </w:rPr>
        <w:t xml:space="preserve"> </w:t>
      </w:r>
      <w:r w:rsidR="00297931" w:rsidRPr="00917A22">
        <w:rPr>
          <w:rFonts w:ascii="Calibri" w:hAnsi="Calibri" w:cs="Calibri"/>
        </w:rPr>
        <w:t xml:space="preserve">Knjigovodstvena evidencija Porezne uprave za plaćene poreze i doprinose je usklađena </w:t>
      </w:r>
      <w:r w:rsidR="007609C1">
        <w:rPr>
          <w:rFonts w:ascii="Calibri" w:hAnsi="Calibri" w:cs="Calibri"/>
        </w:rPr>
        <w:t xml:space="preserve">je </w:t>
      </w:r>
      <w:r w:rsidR="00297931" w:rsidRPr="00917A22">
        <w:rPr>
          <w:rFonts w:ascii="Calibri" w:hAnsi="Calibri" w:cs="Calibri"/>
        </w:rPr>
        <w:t>sa evidencijom glavne knjige vrtića na dan 31.12.2021. godine, te nisu utvrđene nikakve razlike.</w:t>
      </w:r>
    </w:p>
    <w:p w14:paraId="581C9B57" w14:textId="1C743C1C" w:rsidR="00D5337A" w:rsidRPr="00297931" w:rsidRDefault="00D5337A" w:rsidP="00D5337A">
      <w:pPr>
        <w:spacing w:after="0"/>
        <w:jc w:val="both"/>
        <w:rPr>
          <w:rFonts w:ascii="Calibri" w:hAnsi="Calibri" w:cs="Calibri"/>
          <w:color w:val="00B050"/>
        </w:rPr>
      </w:pPr>
    </w:p>
    <w:p w14:paraId="55AD3115" w14:textId="77777777" w:rsidR="003824D4" w:rsidRPr="00EF27BD" w:rsidRDefault="003824D4" w:rsidP="003824D4">
      <w:pPr>
        <w:spacing w:after="0"/>
        <w:jc w:val="center"/>
        <w:rPr>
          <w:rFonts w:ascii="Calibri" w:hAnsi="Calibri" w:cs="Calibri"/>
        </w:rPr>
      </w:pPr>
      <w:r w:rsidRPr="00EF27BD">
        <w:rPr>
          <w:rFonts w:ascii="Calibri" w:hAnsi="Calibri" w:cs="Calibri"/>
        </w:rPr>
        <w:t>Bilješka 16.</w:t>
      </w:r>
    </w:p>
    <w:p w14:paraId="7040D3E2" w14:textId="0BD30752" w:rsidR="003824D4" w:rsidRDefault="003824D4" w:rsidP="003824D4">
      <w:pPr>
        <w:spacing w:after="0"/>
        <w:jc w:val="center"/>
        <w:rPr>
          <w:rFonts w:ascii="Calibri" w:hAnsi="Calibri" w:cs="Calibri"/>
        </w:rPr>
      </w:pPr>
      <w:r w:rsidRPr="002C7785">
        <w:rPr>
          <w:rFonts w:ascii="Calibri" w:hAnsi="Calibri" w:cs="Calibri"/>
        </w:rPr>
        <w:t xml:space="preserve">AOP 232 – Vlastiti izvori </w:t>
      </w:r>
      <w:r>
        <w:rPr>
          <w:rFonts w:ascii="Calibri" w:hAnsi="Calibri" w:cs="Calibri"/>
        </w:rPr>
        <w:t>i ispravak vlastitih izvora</w:t>
      </w:r>
    </w:p>
    <w:p w14:paraId="39CC8EA0" w14:textId="5F899AA6" w:rsidR="003824D4" w:rsidRPr="004E60F5" w:rsidRDefault="003824D4" w:rsidP="003824D4">
      <w:pPr>
        <w:spacing w:after="0"/>
        <w:jc w:val="both"/>
        <w:rPr>
          <w:rFonts w:ascii="Calibri" w:hAnsi="Calibri" w:cs="Calibri"/>
          <w:color w:val="FF0000"/>
        </w:rPr>
      </w:pPr>
      <w:r>
        <w:rPr>
          <w:rFonts w:ascii="Calibri" w:hAnsi="Calibri" w:cs="Calibri"/>
        </w:rPr>
        <w:t xml:space="preserve">Odnose se na Izvore vlasništva iz proračuna za nefinancijsku imovinu, te </w:t>
      </w:r>
      <w:r w:rsidR="002E2580">
        <w:rPr>
          <w:rFonts w:ascii="Calibri" w:hAnsi="Calibri" w:cs="Calibri"/>
        </w:rPr>
        <w:t>bilježe porast od 143% u odnosu na početak godine. Veliko povećanje odnosi se na evidentiranje malog ispravka vrijednosti star</w:t>
      </w:r>
      <w:r w:rsidR="00BF4BC5">
        <w:rPr>
          <w:rFonts w:ascii="Calibri" w:hAnsi="Calibri" w:cs="Calibri"/>
        </w:rPr>
        <w:t>ije</w:t>
      </w:r>
      <w:r w:rsidR="002E2580">
        <w:rPr>
          <w:rFonts w:ascii="Calibri" w:hAnsi="Calibri" w:cs="Calibri"/>
        </w:rPr>
        <w:t xml:space="preserve"> i već otpisane opreme u odnosu na evidentiranu novu nabavu računala i računalne opreme</w:t>
      </w:r>
      <w:r w:rsidR="00BF4BC5">
        <w:rPr>
          <w:rFonts w:ascii="Calibri" w:hAnsi="Calibri" w:cs="Calibri"/>
        </w:rPr>
        <w:t xml:space="preserve">. Razlog </w:t>
      </w:r>
      <w:r w:rsidR="00A35A27">
        <w:rPr>
          <w:rFonts w:ascii="Calibri" w:hAnsi="Calibri" w:cs="Calibri"/>
        </w:rPr>
        <w:t>sma</w:t>
      </w:r>
      <w:r w:rsidR="00BF4BC5">
        <w:rPr>
          <w:rFonts w:ascii="Calibri" w:hAnsi="Calibri" w:cs="Calibri"/>
        </w:rPr>
        <w:t xml:space="preserve">njenog ulaganja u novu </w:t>
      </w:r>
      <w:r w:rsidR="00A35A27">
        <w:rPr>
          <w:rFonts w:ascii="Calibri" w:hAnsi="Calibri" w:cs="Calibri"/>
        </w:rPr>
        <w:t>imovinu je izgradnja novog dječjeg vrtića.</w:t>
      </w:r>
    </w:p>
    <w:p w14:paraId="420E8886" w14:textId="429863EE" w:rsidR="003824D4" w:rsidRDefault="003824D4" w:rsidP="00D5337A">
      <w:pPr>
        <w:spacing w:after="0"/>
        <w:jc w:val="center"/>
        <w:rPr>
          <w:rFonts w:ascii="Calibri" w:hAnsi="Calibri" w:cs="Calibri"/>
          <w:color w:val="0070C0"/>
        </w:rPr>
      </w:pPr>
    </w:p>
    <w:p w14:paraId="3D91EBC9" w14:textId="0BF6AC33" w:rsidR="00D5337A" w:rsidRPr="00EF27BD" w:rsidRDefault="00D5337A" w:rsidP="00D5337A">
      <w:pPr>
        <w:spacing w:after="0"/>
        <w:jc w:val="center"/>
        <w:rPr>
          <w:rFonts w:ascii="Calibri" w:hAnsi="Calibri" w:cs="Calibri"/>
        </w:rPr>
      </w:pPr>
      <w:r w:rsidRPr="00EF27BD">
        <w:rPr>
          <w:rFonts w:ascii="Calibri" w:hAnsi="Calibri" w:cs="Calibri"/>
        </w:rPr>
        <w:t>Bilješka 1</w:t>
      </w:r>
      <w:r w:rsidR="00A35A27" w:rsidRPr="00EF27BD">
        <w:rPr>
          <w:rFonts w:ascii="Calibri" w:hAnsi="Calibri" w:cs="Calibri"/>
        </w:rPr>
        <w:t>7</w:t>
      </w:r>
      <w:r w:rsidRPr="00EF27BD">
        <w:rPr>
          <w:rFonts w:ascii="Calibri" w:hAnsi="Calibri" w:cs="Calibri"/>
        </w:rPr>
        <w:t>.</w:t>
      </w:r>
    </w:p>
    <w:p w14:paraId="220F47E7" w14:textId="31DC43BA" w:rsidR="00D5337A" w:rsidRPr="00BF1EFD" w:rsidRDefault="00D5337A" w:rsidP="00D5337A">
      <w:pPr>
        <w:spacing w:after="0"/>
        <w:jc w:val="center"/>
        <w:rPr>
          <w:rFonts w:ascii="Calibri" w:hAnsi="Calibri" w:cs="Calibri"/>
        </w:rPr>
      </w:pPr>
      <w:r w:rsidRPr="00BF1EFD">
        <w:rPr>
          <w:rFonts w:ascii="Calibri" w:hAnsi="Calibri" w:cs="Calibri"/>
        </w:rPr>
        <w:t>AOP 2</w:t>
      </w:r>
      <w:r w:rsidR="000010F9" w:rsidRPr="00BF1EFD">
        <w:rPr>
          <w:rFonts w:ascii="Calibri" w:hAnsi="Calibri" w:cs="Calibri"/>
        </w:rPr>
        <w:t>3</w:t>
      </w:r>
      <w:r w:rsidR="00A35A27" w:rsidRPr="00BF1EFD">
        <w:rPr>
          <w:rFonts w:ascii="Calibri" w:hAnsi="Calibri" w:cs="Calibri"/>
        </w:rPr>
        <w:t>9</w:t>
      </w:r>
      <w:r w:rsidRPr="00BF1EFD">
        <w:rPr>
          <w:rFonts w:ascii="Calibri" w:hAnsi="Calibri" w:cs="Calibri"/>
        </w:rPr>
        <w:t xml:space="preserve"> – </w:t>
      </w:r>
      <w:r w:rsidR="00A35A27" w:rsidRPr="00BF1EFD">
        <w:rPr>
          <w:rFonts w:ascii="Calibri" w:hAnsi="Calibri" w:cs="Calibri"/>
        </w:rPr>
        <w:t>Višak/manjak prihoda</w:t>
      </w:r>
    </w:p>
    <w:p w14:paraId="70A05407" w14:textId="15F6BDAB" w:rsidR="009E2F06" w:rsidRDefault="002A1C78" w:rsidP="00D5337A">
      <w:pPr>
        <w:spacing w:after="0"/>
        <w:jc w:val="both"/>
        <w:rPr>
          <w:rFonts w:ascii="Calibri" w:hAnsi="Calibri" w:cs="Calibri"/>
        </w:rPr>
      </w:pPr>
      <w:r w:rsidRPr="00BF1EFD">
        <w:rPr>
          <w:rFonts w:ascii="Calibri" w:hAnsi="Calibri" w:cs="Calibri"/>
        </w:rPr>
        <w:t>U 2021. godini je evidentiran višak prihoda i primitaka u iznosu od 47.086,44 kune, odnosno 53.947,45 kuna viška prihoda poslovanja i 6.861,01 manjka prihoda od nefinancijske imovine.</w:t>
      </w:r>
      <w:r w:rsidR="0039690C" w:rsidRPr="00BF1EFD">
        <w:rPr>
          <w:rFonts w:ascii="Calibri" w:hAnsi="Calibri" w:cs="Calibri"/>
        </w:rPr>
        <w:t xml:space="preserve"> Zajedno sa prenesenim manjkom prihoda poslovanja od 27.787,99 kuna</w:t>
      </w:r>
      <w:r w:rsidR="009E2F06">
        <w:rPr>
          <w:rFonts w:ascii="Calibri" w:hAnsi="Calibri" w:cs="Calibri"/>
        </w:rPr>
        <w:t xml:space="preserve"> čini </w:t>
      </w:r>
      <w:r w:rsidR="006659DA" w:rsidRPr="00BF1EFD">
        <w:rPr>
          <w:rFonts w:ascii="Calibri" w:hAnsi="Calibri" w:cs="Calibri"/>
        </w:rPr>
        <w:t>26.159,46 kuna viška prihoda poslovanja i 6.861,01 kuna manjka prihoda od nefinancijske imovine</w:t>
      </w:r>
      <w:r w:rsidR="006659DA">
        <w:rPr>
          <w:rFonts w:ascii="Calibri" w:hAnsi="Calibri" w:cs="Calibri"/>
        </w:rPr>
        <w:t>, odnosno 19.298,45 kuna viška prihoda i primitaka raspoloživog u sljedećem razdoblju.</w:t>
      </w:r>
    </w:p>
    <w:p w14:paraId="3FECB644" w14:textId="1DA1C7AA" w:rsidR="004227A8" w:rsidRPr="00BF1EFD" w:rsidRDefault="007B4CBC" w:rsidP="00D5337A">
      <w:pPr>
        <w:spacing w:after="0"/>
        <w:jc w:val="both"/>
        <w:rPr>
          <w:rFonts w:ascii="Calibri" w:hAnsi="Calibri" w:cs="Calibri"/>
        </w:rPr>
      </w:pPr>
      <w:r w:rsidRPr="00BF1EFD">
        <w:rPr>
          <w:rFonts w:ascii="Calibri" w:hAnsi="Calibri" w:cs="Calibri"/>
        </w:rPr>
        <w:t xml:space="preserve">Korekcija rezultata propisana čl. 82. pravilnika o proračunskom računovodstvu nije provedena jer nije evidentiran primitak sredstava kapitalnih prijenosa </w:t>
      </w:r>
      <w:r w:rsidR="00621B6F" w:rsidRPr="00BF1EFD">
        <w:rPr>
          <w:rFonts w:ascii="Calibri" w:hAnsi="Calibri" w:cs="Calibri"/>
        </w:rPr>
        <w:t>za</w:t>
      </w:r>
      <w:r w:rsidRPr="00BF1EFD">
        <w:rPr>
          <w:rFonts w:ascii="Calibri" w:hAnsi="Calibri" w:cs="Calibri"/>
        </w:rPr>
        <w:t xml:space="preserve"> financiran</w:t>
      </w:r>
      <w:r w:rsidR="00621B6F" w:rsidRPr="00BF1EFD">
        <w:rPr>
          <w:rFonts w:ascii="Calibri" w:hAnsi="Calibri" w:cs="Calibri"/>
        </w:rPr>
        <w:t>je</w:t>
      </w:r>
      <w:r w:rsidRPr="00BF1EFD">
        <w:rPr>
          <w:rFonts w:ascii="Calibri" w:hAnsi="Calibri" w:cs="Calibri"/>
        </w:rPr>
        <w:t xml:space="preserve"> nabav</w:t>
      </w:r>
      <w:r w:rsidR="00621B6F" w:rsidRPr="00BF1EFD">
        <w:rPr>
          <w:rFonts w:ascii="Calibri" w:hAnsi="Calibri" w:cs="Calibri"/>
        </w:rPr>
        <w:t>e</w:t>
      </w:r>
      <w:r w:rsidRPr="00BF1EFD">
        <w:rPr>
          <w:rFonts w:ascii="Calibri" w:hAnsi="Calibri" w:cs="Calibri"/>
        </w:rPr>
        <w:t xml:space="preserve"> nove nefinancijske imovine.</w:t>
      </w:r>
    </w:p>
    <w:p w14:paraId="07DA7B44" w14:textId="69B1F0E9" w:rsidR="006B47D6" w:rsidRPr="00365877" w:rsidRDefault="006B47D6" w:rsidP="006B47D6">
      <w:pPr>
        <w:jc w:val="both"/>
        <w:rPr>
          <w:rFonts w:cstheme="minorHAnsi"/>
          <w:b/>
          <w:bCs/>
          <w:i/>
          <w:iCs/>
        </w:rPr>
      </w:pPr>
      <w:r w:rsidRPr="00365877">
        <w:rPr>
          <w:rFonts w:cstheme="minorHAnsi"/>
          <w:b/>
          <w:bCs/>
          <w:i/>
          <w:iCs/>
        </w:rPr>
        <w:t>Prikaz</w:t>
      </w:r>
    </w:p>
    <w:tbl>
      <w:tblPr>
        <w:tblStyle w:val="Reetkatablice"/>
        <w:tblW w:w="0" w:type="auto"/>
        <w:tblLook w:val="04A0" w:firstRow="1" w:lastRow="0" w:firstColumn="1" w:lastColumn="0" w:noHBand="0" w:noVBand="1"/>
      </w:tblPr>
      <w:tblGrid>
        <w:gridCol w:w="4531"/>
        <w:gridCol w:w="1560"/>
        <w:gridCol w:w="1559"/>
        <w:gridCol w:w="1412"/>
      </w:tblGrid>
      <w:tr w:rsidR="006B47D6" w:rsidRPr="00365877" w14:paraId="0D09D098" w14:textId="77777777" w:rsidTr="00167129">
        <w:tc>
          <w:tcPr>
            <w:tcW w:w="4531" w:type="dxa"/>
          </w:tcPr>
          <w:p w14:paraId="63B79799" w14:textId="77777777" w:rsidR="006B47D6" w:rsidRPr="00365877" w:rsidRDefault="006B47D6" w:rsidP="00167129">
            <w:pPr>
              <w:jc w:val="center"/>
              <w:rPr>
                <w:rFonts w:cstheme="minorHAnsi"/>
                <w:b/>
                <w:bCs/>
              </w:rPr>
            </w:pPr>
          </w:p>
          <w:p w14:paraId="153FB5C1" w14:textId="77777777" w:rsidR="006B47D6" w:rsidRPr="00365877" w:rsidRDefault="006B47D6" w:rsidP="00167129">
            <w:pPr>
              <w:jc w:val="center"/>
              <w:rPr>
                <w:rFonts w:cstheme="minorHAnsi"/>
                <w:b/>
                <w:bCs/>
              </w:rPr>
            </w:pPr>
            <w:r w:rsidRPr="00365877">
              <w:rPr>
                <w:rFonts w:cstheme="minorHAnsi"/>
                <w:b/>
                <w:bCs/>
              </w:rPr>
              <w:t>opis</w:t>
            </w:r>
          </w:p>
        </w:tc>
        <w:tc>
          <w:tcPr>
            <w:tcW w:w="1560" w:type="dxa"/>
          </w:tcPr>
          <w:p w14:paraId="482C798A" w14:textId="77777777" w:rsidR="006B47D6" w:rsidRPr="00365877" w:rsidRDefault="006B47D6" w:rsidP="00167129">
            <w:pPr>
              <w:jc w:val="center"/>
              <w:rPr>
                <w:rFonts w:cstheme="minorHAnsi"/>
                <w:b/>
                <w:bCs/>
              </w:rPr>
            </w:pPr>
            <w:r w:rsidRPr="00365877">
              <w:rPr>
                <w:rFonts w:cstheme="minorHAnsi"/>
                <w:b/>
                <w:bCs/>
              </w:rPr>
              <w:t>prihodi poslovanja</w:t>
            </w:r>
          </w:p>
        </w:tc>
        <w:tc>
          <w:tcPr>
            <w:tcW w:w="1559" w:type="dxa"/>
          </w:tcPr>
          <w:p w14:paraId="6D3F8776" w14:textId="77777777" w:rsidR="006B47D6" w:rsidRPr="00365877" w:rsidRDefault="006B47D6" w:rsidP="00167129">
            <w:pPr>
              <w:jc w:val="center"/>
              <w:rPr>
                <w:rFonts w:cstheme="minorHAnsi"/>
                <w:b/>
                <w:bCs/>
              </w:rPr>
            </w:pPr>
            <w:r w:rsidRPr="00365877">
              <w:rPr>
                <w:rFonts w:cstheme="minorHAnsi"/>
                <w:b/>
                <w:bCs/>
              </w:rPr>
              <w:t>prihodi od nefinancijske imovine</w:t>
            </w:r>
          </w:p>
        </w:tc>
        <w:tc>
          <w:tcPr>
            <w:tcW w:w="1412" w:type="dxa"/>
          </w:tcPr>
          <w:p w14:paraId="393C9C06" w14:textId="77777777" w:rsidR="006B47D6" w:rsidRPr="00365877" w:rsidRDefault="006B47D6" w:rsidP="00167129">
            <w:pPr>
              <w:jc w:val="center"/>
              <w:rPr>
                <w:rFonts w:cstheme="minorHAnsi"/>
                <w:b/>
                <w:bCs/>
              </w:rPr>
            </w:pPr>
          </w:p>
          <w:p w14:paraId="653A6A38" w14:textId="77777777" w:rsidR="006B47D6" w:rsidRPr="00365877" w:rsidRDefault="006B47D6" w:rsidP="00167129">
            <w:pPr>
              <w:jc w:val="center"/>
              <w:rPr>
                <w:rFonts w:cstheme="minorHAnsi"/>
                <w:b/>
                <w:bCs/>
              </w:rPr>
            </w:pPr>
            <w:r w:rsidRPr="00365877">
              <w:rPr>
                <w:rFonts w:cstheme="minorHAnsi"/>
                <w:b/>
                <w:bCs/>
              </w:rPr>
              <w:t>ukupno</w:t>
            </w:r>
          </w:p>
        </w:tc>
      </w:tr>
      <w:tr w:rsidR="00BF1EFD" w:rsidRPr="00BF1EFD" w14:paraId="16F2A108" w14:textId="77777777" w:rsidTr="00167129">
        <w:tc>
          <w:tcPr>
            <w:tcW w:w="4531" w:type="dxa"/>
          </w:tcPr>
          <w:p w14:paraId="4C94206C" w14:textId="77777777" w:rsidR="006B47D6" w:rsidRPr="00365877" w:rsidRDefault="006B47D6" w:rsidP="00167129">
            <w:pPr>
              <w:rPr>
                <w:rFonts w:cstheme="minorHAnsi"/>
              </w:rPr>
            </w:pPr>
            <w:r w:rsidRPr="00365877">
              <w:rPr>
                <w:rFonts w:cstheme="minorHAnsi"/>
              </w:rPr>
              <w:t>Rezultat poslovanja-preneseni 31.12.2021.</w:t>
            </w:r>
          </w:p>
        </w:tc>
        <w:tc>
          <w:tcPr>
            <w:tcW w:w="1560" w:type="dxa"/>
          </w:tcPr>
          <w:p w14:paraId="69ACBAD4" w14:textId="2CD19478" w:rsidR="006B47D6" w:rsidRPr="00BF1EFD" w:rsidRDefault="006B47D6" w:rsidP="00167129">
            <w:pPr>
              <w:jc w:val="right"/>
              <w:rPr>
                <w:rFonts w:cstheme="minorHAnsi"/>
              </w:rPr>
            </w:pPr>
            <w:r w:rsidRPr="00BF1EFD">
              <w:rPr>
                <w:rFonts w:cstheme="minorHAnsi"/>
              </w:rPr>
              <w:t>-27.787,99</w:t>
            </w:r>
          </w:p>
        </w:tc>
        <w:tc>
          <w:tcPr>
            <w:tcW w:w="1559" w:type="dxa"/>
          </w:tcPr>
          <w:p w14:paraId="228850ED" w14:textId="6A740ABC" w:rsidR="006B47D6" w:rsidRPr="00BF1EFD" w:rsidRDefault="006B47D6" w:rsidP="00167129">
            <w:pPr>
              <w:jc w:val="right"/>
              <w:rPr>
                <w:rFonts w:cstheme="minorHAnsi"/>
              </w:rPr>
            </w:pPr>
          </w:p>
        </w:tc>
        <w:tc>
          <w:tcPr>
            <w:tcW w:w="1412" w:type="dxa"/>
          </w:tcPr>
          <w:p w14:paraId="62955BE1" w14:textId="77777777" w:rsidR="006B47D6" w:rsidRPr="00BF1EFD" w:rsidRDefault="006B47D6" w:rsidP="00167129">
            <w:pPr>
              <w:jc w:val="right"/>
              <w:rPr>
                <w:rFonts w:cstheme="minorHAnsi"/>
              </w:rPr>
            </w:pPr>
          </w:p>
        </w:tc>
      </w:tr>
      <w:tr w:rsidR="00BF1EFD" w:rsidRPr="00BF1EFD" w14:paraId="232B495A" w14:textId="77777777" w:rsidTr="00167129">
        <w:tc>
          <w:tcPr>
            <w:tcW w:w="4531" w:type="dxa"/>
          </w:tcPr>
          <w:p w14:paraId="75185EA9" w14:textId="77777777" w:rsidR="006B47D6" w:rsidRPr="00365877" w:rsidRDefault="006B47D6" w:rsidP="00167129">
            <w:pPr>
              <w:rPr>
                <w:rFonts w:cstheme="minorHAnsi"/>
              </w:rPr>
            </w:pPr>
            <w:r w:rsidRPr="00365877">
              <w:rPr>
                <w:rFonts w:cstheme="minorHAnsi"/>
              </w:rPr>
              <w:t>Odluka o rasporedu rezultata u 2020. godini</w:t>
            </w:r>
          </w:p>
        </w:tc>
        <w:tc>
          <w:tcPr>
            <w:tcW w:w="1560" w:type="dxa"/>
          </w:tcPr>
          <w:p w14:paraId="42F4606C" w14:textId="16A85208" w:rsidR="006B47D6" w:rsidRPr="00BF1EFD" w:rsidRDefault="00B0601D" w:rsidP="00167129">
            <w:pPr>
              <w:jc w:val="center"/>
              <w:rPr>
                <w:rFonts w:cstheme="minorHAnsi"/>
              </w:rPr>
            </w:pPr>
            <w:r w:rsidRPr="00BF1EFD">
              <w:rPr>
                <w:rFonts w:cstheme="minorHAnsi"/>
              </w:rPr>
              <w:t>-</w:t>
            </w:r>
          </w:p>
        </w:tc>
        <w:tc>
          <w:tcPr>
            <w:tcW w:w="1559" w:type="dxa"/>
          </w:tcPr>
          <w:p w14:paraId="3423DFC9" w14:textId="525FB866" w:rsidR="006B47D6" w:rsidRPr="00BF1EFD" w:rsidRDefault="00B0601D" w:rsidP="00167129">
            <w:pPr>
              <w:jc w:val="center"/>
              <w:rPr>
                <w:rFonts w:cstheme="minorHAnsi"/>
              </w:rPr>
            </w:pPr>
            <w:r w:rsidRPr="00BF1EFD">
              <w:rPr>
                <w:rFonts w:cstheme="minorHAnsi"/>
              </w:rPr>
              <w:t>-</w:t>
            </w:r>
          </w:p>
        </w:tc>
        <w:tc>
          <w:tcPr>
            <w:tcW w:w="1412" w:type="dxa"/>
          </w:tcPr>
          <w:p w14:paraId="5F4CDF9C" w14:textId="77777777" w:rsidR="006B47D6" w:rsidRPr="00BF1EFD" w:rsidRDefault="006B47D6" w:rsidP="00167129">
            <w:pPr>
              <w:jc w:val="center"/>
              <w:rPr>
                <w:rFonts w:cstheme="minorHAnsi"/>
              </w:rPr>
            </w:pPr>
          </w:p>
        </w:tc>
      </w:tr>
      <w:tr w:rsidR="00BF1EFD" w:rsidRPr="00BF1EFD" w14:paraId="6EB7667F" w14:textId="77777777" w:rsidTr="00167129">
        <w:tc>
          <w:tcPr>
            <w:tcW w:w="4531" w:type="dxa"/>
            <w:shd w:val="clear" w:color="auto" w:fill="D9D9D9" w:themeFill="background1" w:themeFillShade="D9"/>
          </w:tcPr>
          <w:p w14:paraId="4EA9C7D4" w14:textId="77777777" w:rsidR="006B47D6" w:rsidRPr="00365877" w:rsidRDefault="006B47D6" w:rsidP="00167129">
            <w:pPr>
              <w:rPr>
                <w:rFonts w:cstheme="minorHAnsi"/>
                <w:b/>
                <w:bCs/>
                <w:i/>
                <w:iCs/>
              </w:rPr>
            </w:pPr>
            <w:r w:rsidRPr="00365877">
              <w:rPr>
                <w:rFonts w:cstheme="minorHAnsi"/>
                <w:b/>
                <w:bCs/>
                <w:i/>
                <w:iCs/>
              </w:rPr>
              <w:t>Manjak prihoda – preneseni</w:t>
            </w:r>
          </w:p>
        </w:tc>
        <w:tc>
          <w:tcPr>
            <w:tcW w:w="1560" w:type="dxa"/>
            <w:shd w:val="clear" w:color="auto" w:fill="D9D9D9" w:themeFill="background1" w:themeFillShade="D9"/>
          </w:tcPr>
          <w:p w14:paraId="6263EA74" w14:textId="3FCBE7BE" w:rsidR="006B47D6" w:rsidRPr="00BF1EFD" w:rsidRDefault="006B47D6" w:rsidP="00167129">
            <w:pPr>
              <w:jc w:val="right"/>
              <w:rPr>
                <w:rFonts w:cstheme="minorHAnsi"/>
                <w:b/>
                <w:bCs/>
                <w:i/>
                <w:iCs/>
              </w:rPr>
            </w:pPr>
            <w:r w:rsidRPr="00BF1EFD">
              <w:rPr>
                <w:rFonts w:cstheme="minorHAnsi"/>
                <w:b/>
                <w:bCs/>
                <w:i/>
                <w:iCs/>
              </w:rPr>
              <w:t>-27.787,99</w:t>
            </w:r>
          </w:p>
        </w:tc>
        <w:tc>
          <w:tcPr>
            <w:tcW w:w="1559" w:type="dxa"/>
            <w:shd w:val="clear" w:color="auto" w:fill="D9D9D9" w:themeFill="background1" w:themeFillShade="D9"/>
          </w:tcPr>
          <w:p w14:paraId="2E264732" w14:textId="3D320370" w:rsidR="006B47D6" w:rsidRPr="00BF1EFD" w:rsidRDefault="00B0601D" w:rsidP="00B0601D">
            <w:pPr>
              <w:jc w:val="center"/>
              <w:rPr>
                <w:rFonts w:cstheme="minorHAnsi"/>
                <w:b/>
                <w:bCs/>
                <w:i/>
                <w:iCs/>
              </w:rPr>
            </w:pPr>
            <w:r w:rsidRPr="00BF1EFD">
              <w:rPr>
                <w:rFonts w:cstheme="minorHAnsi"/>
                <w:b/>
                <w:bCs/>
                <w:i/>
                <w:iCs/>
              </w:rPr>
              <w:t>-</w:t>
            </w:r>
          </w:p>
        </w:tc>
        <w:tc>
          <w:tcPr>
            <w:tcW w:w="1412" w:type="dxa"/>
            <w:shd w:val="clear" w:color="auto" w:fill="D9D9D9" w:themeFill="background1" w:themeFillShade="D9"/>
          </w:tcPr>
          <w:p w14:paraId="0D8627F4" w14:textId="5F5E4D64" w:rsidR="006B47D6" w:rsidRPr="00BF1EFD" w:rsidRDefault="006B47D6" w:rsidP="00167129">
            <w:pPr>
              <w:jc w:val="right"/>
              <w:rPr>
                <w:rFonts w:cstheme="minorHAnsi"/>
                <w:b/>
                <w:bCs/>
                <w:i/>
                <w:iCs/>
              </w:rPr>
            </w:pPr>
            <w:r w:rsidRPr="00BF1EFD">
              <w:rPr>
                <w:rFonts w:cstheme="minorHAnsi"/>
              </w:rPr>
              <w:t>-27.787,99</w:t>
            </w:r>
          </w:p>
        </w:tc>
      </w:tr>
      <w:tr w:rsidR="00BF1EFD" w:rsidRPr="00BF1EFD" w14:paraId="34881DBE" w14:textId="77777777" w:rsidTr="00167129">
        <w:tc>
          <w:tcPr>
            <w:tcW w:w="4531" w:type="dxa"/>
          </w:tcPr>
          <w:p w14:paraId="0CE41272" w14:textId="77777777" w:rsidR="006B47D6" w:rsidRPr="00365877" w:rsidRDefault="006B47D6" w:rsidP="00167129">
            <w:pPr>
              <w:rPr>
                <w:rFonts w:cstheme="minorHAnsi"/>
              </w:rPr>
            </w:pPr>
          </w:p>
        </w:tc>
        <w:tc>
          <w:tcPr>
            <w:tcW w:w="1560" w:type="dxa"/>
          </w:tcPr>
          <w:p w14:paraId="24A46014" w14:textId="77777777" w:rsidR="006B47D6" w:rsidRPr="00BF1EFD" w:rsidRDefault="006B47D6" w:rsidP="00167129">
            <w:pPr>
              <w:jc w:val="right"/>
              <w:rPr>
                <w:rFonts w:cstheme="minorHAnsi"/>
                <w:b/>
                <w:bCs/>
                <w:i/>
                <w:iCs/>
              </w:rPr>
            </w:pPr>
          </w:p>
        </w:tc>
        <w:tc>
          <w:tcPr>
            <w:tcW w:w="1559" w:type="dxa"/>
          </w:tcPr>
          <w:p w14:paraId="5106AFBD" w14:textId="77777777" w:rsidR="006B47D6" w:rsidRPr="00BF1EFD" w:rsidRDefault="006B47D6" w:rsidP="00167129">
            <w:pPr>
              <w:jc w:val="right"/>
              <w:rPr>
                <w:rFonts w:cstheme="minorHAnsi"/>
                <w:b/>
                <w:bCs/>
                <w:i/>
                <w:iCs/>
              </w:rPr>
            </w:pPr>
          </w:p>
        </w:tc>
        <w:tc>
          <w:tcPr>
            <w:tcW w:w="1412" w:type="dxa"/>
          </w:tcPr>
          <w:p w14:paraId="0890C2A6" w14:textId="77777777" w:rsidR="006B47D6" w:rsidRPr="00BF1EFD" w:rsidRDefault="006B47D6" w:rsidP="00167129">
            <w:pPr>
              <w:jc w:val="right"/>
              <w:rPr>
                <w:rFonts w:cstheme="minorHAnsi"/>
                <w:b/>
                <w:bCs/>
                <w:i/>
                <w:iCs/>
              </w:rPr>
            </w:pPr>
          </w:p>
        </w:tc>
      </w:tr>
      <w:tr w:rsidR="00BF1EFD" w:rsidRPr="00BF1EFD" w14:paraId="4C78221A" w14:textId="77777777" w:rsidTr="00167129">
        <w:tc>
          <w:tcPr>
            <w:tcW w:w="4531" w:type="dxa"/>
          </w:tcPr>
          <w:p w14:paraId="64E9C7C8" w14:textId="77777777" w:rsidR="006B47D6" w:rsidRPr="00365877" w:rsidRDefault="006B47D6" w:rsidP="00167129">
            <w:pPr>
              <w:rPr>
                <w:rFonts w:cstheme="minorHAnsi"/>
              </w:rPr>
            </w:pPr>
            <w:r w:rsidRPr="00365877">
              <w:rPr>
                <w:rFonts w:cstheme="minorHAnsi"/>
              </w:rPr>
              <w:t>višak prihoda ostvaren u 2021.</w:t>
            </w:r>
          </w:p>
        </w:tc>
        <w:tc>
          <w:tcPr>
            <w:tcW w:w="1560" w:type="dxa"/>
          </w:tcPr>
          <w:p w14:paraId="77A2219D" w14:textId="0CEC8724" w:rsidR="006B47D6" w:rsidRPr="00BF1EFD" w:rsidRDefault="006B47D6" w:rsidP="00167129">
            <w:pPr>
              <w:jc w:val="right"/>
              <w:rPr>
                <w:rFonts w:cstheme="minorHAnsi"/>
              </w:rPr>
            </w:pPr>
            <w:r w:rsidRPr="00BF1EFD">
              <w:rPr>
                <w:rFonts w:cstheme="minorHAnsi"/>
              </w:rPr>
              <w:t>+53.947,45</w:t>
            </w:r>
          </w:p>
        </w:tc>
        <w:tc>
          <w:tcPr>
            <w:tcW w:w="1559" w:type="dxa"/>
          </w:tcPr>
          <w:p w14:paraId="21F07BB3" w14:textId="77777777" w:rsidR="006B47D6" w:rsidRPr="00BF1EFD" w:rsidRDefault="006B47D6" w:rsidP="00167129">
            <w:pPr>
              <w:jc w:val="right"/>
              <w:rPr>
                <w:rFonts w:cstheme="minorHAnsi"/>
              </w:rPr>
            </w:pPr>
          </w:p>
        </w:tc>
        <w:tc>
          <w:tcPr>
            <w:tcW w:w="1412" w:type="dxa"/>
          </w:tcPr>
          <w:p w14:paraId="21C638A7" w14:textId="77777777" w:rsidR="006B47D6" w:rsidRPr="00BF1EFD" w:rsidRDefault="006B47D6" w:rsidP="00167129">
            <w:pPr>
              <w:jc w:val="right"/>
              <w:rPr>
                <w:rFonts w:cstheme="minorHAnsi"/>
              </w:rPr>
            </w:pPr>
          </w:p>
        </w:tc>
      </w:tr>
      <w:tr w:rsidR="00BF1EFD" w:rsidRPr="00BF1EFD" w14:paraId="4D139854" w14:textId="77777777" w:rsidTr="00167129">
        <w:tc>
          <w:tcPr>
            <w:tcW w:w="4531" w:type="dxa"/>
          </w:tcPr>
          <w:p w14:paraId="37C12B91" w14:textId="77777777" w:rsidR="006B47D6" w:rsidRPr="00365877" w:rsidRDefault="006B47D6" w:rsidP="00167129">
            <w:pPr>
              <w:rPr>
                <w:rFonts w:cstheme="minorHAnsi"/>
              </w:rPr>
            </w:pPr>
            <w:r w:rsidRPr="00365877">
              <w:rPr>
                <w:rFonts w:cstheme="minorHAnsi"/>
              </w:rPr>
              <w:t>manjak prihoda ostvaren u 2021.</w:t>
            </w:r>
          </w:p>
        </w:tc>
        <w:tc>
          <w:tcPr>
            <w:tcW w:w="1560" w:type="dxa"/>
          </w:tcPr>
          <w:p w14:paraId="08B137A4" w14:textId="77777777" w:rsidR="006B47D6" w:rsidRPr="00BF1EFD" w:rsidRDefault="006B47D6" w:rsidP="00167129">
            <w:pPr>
              <w:jc w:val="center"/>
              <w:rPr>
                <w:rFonts w:cstheme="minorHAnsi"/>
              </w:rPr>
            </w:pPr>
          </w:p>
        </w:tc>
        <w:tc>
          <w:tcPr>
            <w:tcW w:w="1559" w:type="dxa"/>
          </w:tcPr>
          <w:p w14:paraId="11B03984" w14:textId="0DA5653A" w:rsidR="006B47D6" w:rsidRPr="00BF1EFD" w:rsidRDefault="006B47D6" w:rsidP="00167129">
            <w:pPr>
              <w:jc w:val="right"/>
              <w:rPr>
                <w:rFonts w:cstheme="minorHAnsi"/>
              </w:rPr>
            </w:pPr>
            <w:r w:rsidRPr="00BF1EFD">
              <w:rPr>
                <w:rFonts w:cstheme="minorHAnsi"/>
              </w:rPr>
              <w:t>-6.861,01</w:t>
            </w:r>
          </w:p>
        </w:tc>
        <w:tc>
          <w:tcPr>
            <w:tcW w:w="1412" w:type="dxa"/>
          </w:tcPr>
          <w:p w14:paraId="309B3381" w14:textId="77777777" w:rsidR="006B47D6" w:rsidRPr="00BF1EFD" w:rsidRDefault="006B47D6" w:rsidP="00167129">
            <w:pPr>
              <w:jc w:val="right"/>
              <w:rPr>
                <w:rFonts w:cstheme="minorHAnsi"/>
              </w:rPr>
            </w:pPr>
          </w:p>
        </w:tc>
      </w:tr>
      <w:tr w:rsidR="00BF1EFD" w:rsidRPr="00BF1EFD" w14:paraId="09CCE953" w14:textId="77777777" w:rsidTr="00167129">
        <w:tc>
          <w:tcPr>
            <w:tcW w:w="4531" w:type="dxa"/>
            <w:shd w:val="clear" w:color="auto" w:fill="D9D9D9" w:themeFill="background1" w:themeFillShade="D9"/>
          </w:tcPr>
          <w:p w14:paraId="03C7BEC3" w14:textId="77777777" w:rsidR="006B47D6" w:rsidRPr="00365877" w:rsidRDefault="006B47D6" w:rsidP="00167129">
            <w:pPr>
              <w:rPr>
                <w:rFonts w:cstheme="minorHAnsi"/>
                <w:b/>
                <w:bCs/>
                <w:i/>
                <w:iCs/>
              </w:rPr>
            </w:pPr>
            <w:r w:rsidRPr="00365877">
              <w:rPr>
                <w:rFonts w:cstheme="minorHAnsi"/>
                <w:b/>
                <w:bCs/>
                <w:i/>
                <w:iCs/>
              </w:rPr>
              <w:t>Rezultat prije korekcije</w:t>
            </w:r>
          </w:p>
        </w:tc>
        <w:tc>
          <w:tcPr>
            <w:tcW w:w="1560" w:type="dxa"/>
            <w:shd w:val="clear" w:color="auto" w:fill="D9D9D9" w:themeFill="background1" w:themeFillShade="D9"/>
          </w:tcPr>
          <w:p w14:paraId="20EDF610" w14:textId="235B009C" w:rsidR="006B47D6" w:rsidRPr="00BF1EFD" w:rsidRDefault="006B47D6" w:rsidP="00167129">
            <w:pPr>
              <w:jc w:val="right"/>
              <w:rPr>
                <w:rFonts w:cstheme="minorHAnsi"/>
                <w:b/>
                <w:bCs/>
                <w:i/>
                <w:iCs/>
              </w:rPr>
            </w:pPr>
            <w:r w:rsidRPr="00BF1EFD">
              <w:rPr>
                <w:rFonts w:cstheme="minorHAnsi"/>
                <w:b/>
                <w:bCs/>
                <w:i/>
                <w:iCs/>
              </w:rPr>
              <w:t>26.159,46</w:t>
            </w:r>
          </w:p>
        </w:tc>
        <w:tc>
          <w:tcPr>
            <w:tcW w:w="1559" w:type="dxa"/>
            <w:shd w:val="clear" w:color="auto" w:fill="D9D9D9" w:themeFill="background1" w:themeFillShade="D9"/>
          </w:tcPr>
          <w:p w14:paraId="640598A1" w14:textId="25514B50" w:rsidR="006B47D6" w:rsidRPr="00BF1EFD" w:rsidRDefault="006B47D6" w:rsidP="00167129">
            <w:pPr>
              <w:jc w:val="right"/>
              <w:rPr>
                <w:rFonts w:cstheme="minorHAnsi"/>
                <w:b/>
                <w:bCs/>
                <w:i/>
                <w:iCs/>
              </w:rPr>
            </w:pPr>
            <w:r w:rsidRPr="00BF1EFD">
              <w:rPr>
                <w:rFonts w:cstheme="minorHAnsi"/>
                <w:b/>
                <w:bCs/>
                <w:i/>
                <w:iCs/>
              </w:rPr>
              <w:t>-6.861,01</w:t>
            </w:r>
          </w:p>
        </w:tc>
        <w:tc>
          <w:tcPr>
            <w:tcW w:w="1412" w:type="dxa"/>
            <w:shd w:val="clear" w:color="auto" w:fill="D9D9D9" w:themeFill="background1" w:themeFillShade="D9"/>
          </w:tcPr>
          <w:p w14:paraId="45BD4A01" w14:textId="34611C30" w:rsidR="006B47D6" w:rsidRPr="00BF1EFD" w:rsidRDefault="006B47D6" w:rsidP="00167129">
            <w:pPr>
              <w:jc w:val="right"/>
              <w:rPr>
                <w:rFonts w:cstheme="minorHAnsi"/>
                <w:b/>
                <w:bCs/>
                <w:i/>
                <w:iCs/>
              </w:rPr>
            </w:pPr>
            <w:r w:rsidRPr="00BF1EFD">
              <w:rPr>
                <w:rFonts w:cstheme="minorHAnsi"/>
                <w:b/>
                <w:bCs/>
                <w:i/>
                <w:iCs/>
              </w:rPr>
              <w:t>+19.298,45</w:t>
            </w:r>
          </w:p>
        </w:tc>
      </w:tr>
      <w:tr w:rsidR="00BF1EFD" w:rsidRPr="00BF1EFD" w14:paraId="37754321" w14:textId="77777777" w:rsidTr="00167129">
        <w:tc>
          <w:tcPr>
            <w:tcW w:w="4531" w:type="dxa"/>
          </w:tcPr>
          <w:p w14:paraId="151FCA48" w14:textId="72693EF7" w:rsidR="006B47D6" w:rsidRPr="00365877" w:rsidRDefault="006B47D6" w:rsidP="00167129">
            <w:pPr>
              <w:rPr>
                <w:rFonts w:cstheme="minorHAnsi"/>
              </w:rPr>
            </w:pPr>
            <w:r w:rsidRPr="00365877">
              <w:rPr>
                <w:rFonts w:cstheme="minorHAnsi"/>
              </w:rPr>
              <w:t>1.</w:t>
            </w:r>
            <w:r w:rsidR="00B0601D">
              <w:rPr>
                <w:rFonts w:cstheme="minorHAnsi"/>
              </w:rPr>
              <w:t xml:space="preserve"> </w:t>
            </w:r>
            <w:r w:rsidRPr="00365877">
              <w:rPr>
                <w:rFonts w:cstheme="minorHAnsi"/>
              </w:rPr>
              <w:t>korekcija (konto 6332 i 67121)</w:t>
            </w:r>
          </w:p>
        </w:tc>
        <w:tc>
          <w:tcPr>
            <w:tcW w:w="1560" w:type="dxa"/>
          </w:tcPr>
          <w:p w14:paraId="7F9FD750" w14:textId="4DB8EA5D" w:rsidR="006B47D6" w:rsidRPr="00BF1EFD" w:rsidRDefault="00621B6F" w:rsidP="00621B6F">
            <w:pPr>
              <w:jc w:val="center"/>
              <w:rPr>
                <w:rFonts w:cstheme="minorHAnsi"/>
              </w:rPr>
            </w:pPr>
            <w:r w:rsidRPr="00BF1EFD">
              <w:rPr>
                <w:rFonts w:cstheme="minorHAnsi"/>
              </w:rPr>
              <w:t>-</w:t>
            </w:r>
          </w:p>
        </w:tc>
        <w:tc>
          <w:tcPr>
            <w:tcW w:w="1559" w:type="dxa"/>
          </w:tcPr>
          <w:p w14:paraId="321409E1" w14:textId="18E157EB" w:rsidR="006B47D6" w:rsidRPr="00BF1EFD" w:rsidRDefault="00621B6F" w:rsidP="00621B6F">
            <w:pPr>
              <w:jc w:val="center"/>
              <w:rPr>
                <w:rFonts w:cstheme="minorHAnsi"/>
              </w:rPr>
            </w:pPr>
            <w:r w:rsidRPr="00BF1EFD">
              <w:rPr>
                <w:rFonts w:cstheme="minorHAnsi"/>
              </w:rPr>
              <w:t>-</w:t>
            </w:r>
          </w:p>
        </w:tc>
        <w:tc>
          <w:tcPr>
            <w:tcW w:w="1412" w:type="dxa"/>
          </w:tcPr>
          <w:p w14:paraId="45CBD348" w14:textId="71A8A90B" w:rsidR="006B47D6" w:rsidRPr="00BF1EFD" w:rsidRDefault="006B47D6" w:rsidP="00B0601D">
            <w:pPr>
              <w:jc w:val="center"/>
              <w:rPr>
                <w:rFonts w:cstheme="minorHAnsi"/>
              </w:rPr>
            </w:pPr>
          </w:p>
        </w:tc>
      </w:tr>
      <w:tr w:rsidR="00BF1EFD" w:rsidRPr="00BF1EFD" w14:paraId="5E66360D" w14:textId="77777777" w:rsidTr="00167129">
        <w:tc>
          <w:tcPr>
            <w:tcW w:w="4531" w:type="dxa"/>
          </w:tcPr>
          <w:p w14:paraId="289D17E4" w14:textId="4AA18FC7" w:rsidR="006B47D6" w:rsidRPr="00365877" w:rsidRDefault="00B0601D" w:rsidP="00167129">
            <w:pPr>
              <w:rPr>
                <w:rFonts w:cstheme="minorHAnsi"/>
              </w:rPr>
            </w:pPr>
            <w:r>
              <w:rPr>
                <w:rFonts w:cstheme="minorHAnsi"/>
              </w:rPr>
              <w:t>2. korekcija</w:t>
            </w:r>
          </w:p>
        </w:tc>
        <w:tc>
          <w:tcPr>
            <w:tcW w:w="1560" w:type="dxa"/>
          </w:tcPr>
          <w:p w14:paraId="2DAA4392" w14:textId="4A03DD28" w:rsidR="006B47D6" w:rsidRPr="00BF1EFD" w:rsidRDefault="00621B6F" w:rsidP="00621B6F">
            <w:pPr>
              <w:jc w:val="center"/>
              <w:rPr>
                <w:rFonts w:cstheme="minorHAnsi"/>
              </w:rPr>
            </w:pPr>
            <w:r w:rsidRPr="00BF1EFD">
              <w:rPr>
                <w:rFonts w:cstheme="minorHAnsi"/>
              </w:rPr>
              <w:t>-</w:t>
            </w:r>
          </w:p>
        </w:tc>
        <w:tc>
          <w:tcPr>
            <w:tcW w:w="1559" w:type="dxa"/>
          </w:tcPr>
          <w:p w14:paraId="77EF0549" w14:textId="17F6852D" w:rsidR="006B47D6" w:rsidRPr="00BF1EFD" w:rsidRDefault="00621B6F" w:rsidP="00621B6F">
            <w:pPr>
              <w:jc w:val="center"/>
              <w:rPr>
                <w:rFonts w:cstheme="minorHAnsi"/>
              </w:rPr>
            </w:pPr>
            <w:r w:rsidRPr="00BF1EFD">
              <w:rPr>
                <w:rFonts w:cstheme="minorHAnsi"/>
              </w:rPr>
              <w:t>-</w:t>
            </w:r>
          </w:p>
        </w:tc>
        <w:tc>
          <w:tcPr>
            <w:tcW w:w="1412" w:type="dxa"/>
          </w:tcPr>
          <w:p w14:paraId="27AACC24" w14:textId="77777777" w:rsidR="006B47D6" w:rsidRPr="00BF1EFD" w:rsidRDefault="006B47D6" w:rsidP="00167129">
            <w:pPr>
              <w:jc w:val="right"/>
              <w:rPr>
                <w:rFonts w:cstheme="minorHAnsi"/>
              </w:rPr>
            </w:pPr>
          </w:p>
        </w:tc>
      </w:tr>
      <w:tr w:rsidR="00B0601D" w:rsidRPr="00BF1EFD" w14:paraId="2B3C1660" w14:textId="77777777" w:rsidTr="00167129">
        <w:tc>
          <w:tcPr>
            <w:tcW w:w="4531" w:type="dxa"/>
          </w:tcPr>
          <w:p w14:paraId="1C5CEC08" w14:textId="33159D7C" w:rsidR="00B0601D" w:rsidRDefault="00B0601D" w:rsidP="00167129">
            <w:pPr>
              <w:rPr>
                <w:rFonts w:cstheme="minorHAnsi"/>
              </w:rPr>
            </w:pPr>
            <w:r>
              <w:rPr>
                <w:rFonts w:cstheme="minorHAnsi"/>
              </w:rPr>
              <w:t>3. korekcija</w:t>
            </w:r>
          </w:p>
        </w:tc>
        <w:tc>
          <w:tcPr>
            <w:tcW w:w="1560" w:type="dxa"/>
          </w:tcPr>
          <w:p w14:paraId="33D7A1EF" w14:textId="11482C8A" w:rsidR="00B0601D" w:rsidRPr="00BF1EFD" w:rsidRDefault="00621B6F" w:rsidP="00621B6F">
            <w:pPr>
              <w:jc w:val="center"/>
              <w:rPr>
                <w:rFonts w:cstheme="minorHAnsi"/>
              </w:rPr>
            </w:pPr>
            <w:r w:rsidRPr="00BF1EFD">
              <w:rPr>
                <w:rFonts w:cstheme="minorHAnsi"/>
              </w:rPr>
              <w:t>-</w:t>
            </w:r>
          </w:p>
        </w:tc>
        <w:tc>
          <w:tcPr>
            <w:tcW w:w="1559" w:type="dxa"/>
          </w:tcPr>
          <w:p w14:paraId="726C1C0C" w14:textId="675FC8AA" w:rsidR="00B0601D" w:rsidRPr="00BF1EFD" w:rsidRDefault="00621B6F" w:rsidP="00621B6F">
            <w:pPr>
              <w:jc w:val="center"/>
              <w:rPr>
                <w:rFonts w:cstheme="minorHAnsi"/>
              </w:rPr>
            </w:pPr>
            <w:r w:rsidRPr="00BF1EFD">
              <w:rPr>
                <w:rFonts w:cstheme="minorHAnsi"/>
              </w:rPr>
              <w:t>-</w:t>
            </w:r>
          </w:p>
        </w:tc>
        <w:tc>
          <w:tcPr>
            <w:tcW w:w="1412" w:type="dxa"/>
          </w:tcPr>
          <w:p w14:paraId="387CEA7A" w14:textId="77777777" w:rsidR="00B0601D" w:rsidRPr="00BF1EFD" w:rsidRDefault="00B0601D" w:rsidP="00167129">
            <w:pPr>
              <w:jc w:val="right"/>
              <w:rPr>
                <w:rFonts w:cstheme="minorHAnsi"/>
              </w:rPr>
            </w:pPr>
          </w:p>
        </w:tc>
      </w:tr>
      <w:tr w:rsidR="00BF1EFD" w:rsidRPr="00BF1EFD" w14:paraId="4A142DD3" w14:textId="77777777" w:rsidTr="00167129">
        <w:tc>
          <w:tcPr>
            <w:tcW w:w="4531" w:type="dxa"/>
            <w:shd w:val="clear" w:color="auto" w:fill="D9D9D9" w:themeFill="background1" w:themeFillShade="D9"/>
          </w:tcPr>
          <w:p w14:paraId="12347AAD" w14:textId="20664AF2" w:rsidR="006B47D6" w:rsidRPr="00365877" w:rsidRDefault="006B47D6" w:rsidP="00167129">
            <w:pPr>
              <w:rPr>
                <w:rFonts w:cstheme="minorHAnsi"/>
                <w:b/>
                <w:bCs/>
              </w:rPr>
            </w:pPr>
            <w:r>
              <w:rPr>
                <w:rFonts w:cstheme="minorHAnsi"/>
                <w:b/>
                <w:bCs/>
              </w:rPr>
              <w:t>Višak</w:t>
            </w:r>
            <w:r w:rsidRPr="00365877">
              <w:rPr>
                <w:rFonts w:cstheme="minorHAnsi"/>
                <w:b/>
                <w:bCs/>
              </w:rPr>
              <w:t xml:space="preserve"> prihoda poslovanja 31.12.202</w:t>
            </w:r>
            <w:r>
              <w:rPr>
                <w:rFonts w:cstheme="minorHAnsi"/>
                <w:b/>
                <w:bCs/>
              </w:rPr>
              <w:t>1</w:t>
            </w:r>
            <w:r w:rsidRPr="00365877">
              <w:rPr>
                <w:rFonts w:cstheme="minorHAnsi"/>
                <w:b/>
                <w:bCs/>
              </w:rPr>
              <w:t>.</w:t>
            </w:r>
          </w:p>
          <w:p w14:paraId="0252EC2F" w14:textId="77777777" w:rsidR="006B47D6" w:rsidRPr="00365877" w:rsidRDefault="006B47D6" w:rsidP="00167129">
            <w:pPr>
              <w:rPr>
                <w:rFonts w:cstheme="minorHAnsi"/>
                <w:b/>
                <w:bCs/>
              </w:rPr>
            </w:pPr>
            <w:r w:rsidRPr="00365877">
              <w:rPr>
                <w:rFonts w:cstheme="minorHAnsi"/>
                <w:b/>
                <w:bCs/>
              </w:rPr>
              <w:t>-za prijenos u sljedeće razdoblje</w:t>
            </w:r>
          </w:p>
        </w:tc>
        <w:tc>
          <w:tcPr>
            <w:tcW w:w="1560" w:type="dxa"/>
            <w:shd w:val="clear" w:color="auto" w:fill="D9D9D9" w:themeFill="background1" w:themeFillShade="D9"/>
          </w:tcPr>
          <w:p w14:paraId="423B766E" w14:textId="77777777" w:rsidR="006B47D6" w:rsidRPr="00BF1EFD" w:rsidRDefault="006B47D6" w:rsidP="00167129">
            <w:pPr>
              <w:jc w:val="right"/>
              <w:rPr>
                <w:rFonts w:cstheme="minorHAnsi"/>
                <w:b/>
                <w:bCs/>
              </w:rPr>
            </w:pPr>
          </w:p>
          <w:p w14:paraId="7E3B2C02" w14:textId="7586AA60" w:rsidR="006B47D6" w:rsidRPr="00BF1EFD" w:rsidRDefault="000364D4" w:rsidP="00167129">
            <w:pPr>
              <w:jc w:val="right"/>
              <w:rPr>
                <w:rFonts w:cstheme="minorHAnsi"/>
                <w:b/>
                <w:bCs/>
              </w:rPr>
            </w:pPr>
            <w:r w:rsidRPr="00BF1EFD">
              <w:rPr>
                <w:rFonts w:cstheme="minorHAnsi"/>
                <w:b/>
                <w:bCs/>
              </w:rPr>
              <w:t>+26.159,46</w:t>
            </w:r>
          </w:p>
        </w:tc>
        <w:tc>
          <w:tcPr>
            <w:tcW w:w="1559" w:type="dxa"/>
            <w:shd w:val="clear" w:color="auto" w:fill="D9D9D9" w:themeFill="background1" w:themeFillShade="D9"/>
          </w:tcPr>
          <w:p w14:paraId="3F143599" w14:textId="77777777" w:rsidR="006B47D6" w:rsidRPr="00BF1EFD" w:rsidRDefault="006B47D6" w:rsidP="00167129">
            <w:pPr>
              <w:jc w:val="center"/>
              <w:rPr>
                <w:rFonts w:cstheme="minorHAnsi"/>
                <w:b/>
                <w:bCs/>
              </w:rPr>
            </w:pPr>
          </w:p>
          <w:p w14:paraId="05590594" w14:textId="77777777" w:rsidR="006B47D6" w:rsidRPr="00BF1EFD" w:rsidRDefault="006B47D6" w:rsidP="00167129">
            <w:pPr>
              <w:jc w:val="center"/>
              <w:rPr>
                <w:rFonts w:cstheme="minorHAnsi"/>
                <w:b/>
                <w:bCs/>
              </w:rPr>
            </w:pPr>
          </w:p>
        </w:tc>
        <w:tc>
          <w:tcPr>
            <w:tcW w:w="1412" w:type="dxa"/>
            <w:shd w:val="clear" w:color="auto" w:fill="D9D9D9" w:themeFill="background1" w:themeFillShade="D9"/>
          </w:tcPr>
          <w:p w14:paraId="4337ADD2" w14:textId="77777777" w:rsidR="006B47D6" w:rsidRPr="00BF1EFD" w:rsidRDefault="006B47D6" w:rsidP="00167129">
            <w:pPr>
              <w:jc w:val="right"/>
              <w:rPr>
                <w:rFonts w:cstheme="minorHAnsi"/>
                <w:b/>
                <w:bCs/>
              </w:rPr>
            </w:pPr>
          </w:p>
        </w:tc>
      </w:tr>
      <w:tr w:rsidR="00BF1EFD" w:rsidRPr="00BF1EFD" w14:paraId="3D48F92F" w14:textId="77777777" w:rsidTr="00167129">
        <w:tc>
          <w:tcPr>
            <w:tcW w:w="4531" w:type="dxa"/>
            <w:shd w:val="clear" w:color="auto" w:fill="D9D9D9" w:themeFill="background1" w:themeFillShade="D9"/>
          </w:tcPr>
          <w:p w14:paraId="032EDE02" w14:textId="77777777" w:rsidR="006B47D6" w:rsidRPr="00365877" w:rsidRDefault="006B47D6" w:rsidP="00167129">
            <w:pPr>
              <w:rPr>
                <w:rFonts w:cstheme="minorHAnsi"/>
                <w:b/>
                <w:bCs/>
              </w:rPr>
            </w:pPr>
            <w:r w:rsidRPr="00365877">
              <w:rPr>
                <w:rFonts w:cstheme="minorHAnsi"/>
                <w:b/>
                <w:bCs/>
              </w:rPr>
              <w:t xml:space="preserve">Manjak prihoda od </w:t>
            </w:r>
            <w:proofErr w:type="spellStart"/>
            <w:r w:rsidRPr="00365877">
              <w:rPr>
                <w:rFonts w:cstheme="minorHAnsi"/>
                <w:b/>
                <w:bCs/>
              </w:rPr>
              <w:t>nefinanc</w:t>
            </w:r>
            <w:proofErr w:type="spellEnd"/>
            <w:r w:rsidRPr="00365877">
              <w:rPr>
                <w:rFonts w:cstheme="minorHAnsi"/>
                <w:b/>
                <w:bCs/>
              </w:rPr>
              <w:t>. Imov.31.12.202</w:t>
            </w:r>
            <w:r>
              <w:rPr>
                <w:rFonts w:cstheme="minorHAnsi"/>
                <w:b/>
                <w:bCs/>
              </w:rPr>
              <w:t>1</w:t>
            </w:r>
            <w:r w:rsidRPr="00365877">
              <w:rPr>
                <w:rFonts w:cstheme="minorHAnsi"/>
                <w:b/>
                <w:bCs/>
              </w:rPr>
              <w:t>.</w:t>
            </w:r>
          </w:p>
          <w:p w14:paraId="3807AAD9" w14:textId="77777777" w:rsidR="006B47D6" w:rsidRPr="00365877" w:rsidRDefault="006B47D6" w:rsidP="00167129">
            <w:pPr>
              <w:rPr>
                <w:rFonts w:cstheme="minorHAnsi"/>
                <w:b/>
                <w:bCs/>
              </w:rPr>
            </w:pPr>
            <w:r w:rsidRPr="00365877">
              <w:rPr>
                <w:rFonts w:cstheme="minorHAnsi"/>
                <w:b/>
                <w:bCs/>
              </w:rPr>
              <w:t>-za prijenos u sljedeće razdoblje</w:t>
            </w:r>
          </w:p>
        </w:tc>
        <w:tc>
          <w:tcPr>
            <w:tcW w:w="1560" w:type="dxa"/>
            <w:shd w:val="clear" w:color="auto" w:fill="D9D9D9" w:themeFill="background1" w:themeFillShade="D9"/>
          </w:tcPr>
          <w:p w14:paraId="1932228D" w14:textId="77777777" w:rsidR="006B47D6" w:rsidRPr="00BF1EFD" w:rsidRDefault="006B47D6" w:rsidP="00167129">
            <w:pPr>
              <w:jc w:val="center"/>
              <w:rPr>
                <w:rFonts w:cstheme="minorHAnsi"/>
                <w:b/>
                <w:bCs/>
              </w:rPr>
            </w:pPr>
          </w:p>
          <w:p w14:paraId="33642BED" w14:textId="77777777" w:rsidR="006B47D6" w:rsidRPr="00BF1EFD" w:rsidRDefault="006B47D6" w:rsidP="00167129">
            <w:pPr>
              <w:jc w:val="center"/>
              <w:rPr>
                <w:rFonts w:cstheme="minorHAnsi"/>
                <w:b/>
                <w:bCs/>
              </w:rPr>
            </w:pPr>
          </w:p>
        </w:tc>
        <w:tc>
          <w:tcPr>
            <w:tcW w:w="1559" w:type="dxa"/>
            <w:shd w:val="clear" w:color="auto" w:fill="D9D9D9" w:themeFill="background1" w:themeFillShade="D9"/>
          </w:tcPr>
          <w:p w14:paraId="24F5FF7C" w14:textId="77777777" w:rsidR="006B47D6" w:rsidRPr="00BF1EFD" w:rsidRDefault="006B47D6" w:rsidP="00167129">
            <w:pPr>
              <w:jc w:val="right"/>
              <w:rPr>
                <w:rFonts w:cstheme="minorHAnsi"/>
                <w:b/>
                <w:bCs/>
              </w:rPr>
            </w:pPr>
          </w:p>
          <w:p w14:paraId="0C571077" w14:textId="2AAF5F9D" w:rsidR="006B47D6" w:rsidRPr="00BF1EFD" w:rsidRDefault="000364D4" w:rsidP="00167129">
            <w:pPr>
              <w:jc w:val="right"/>
              <w:rPr>
                <w:rFonts w:cstheme="minorHAnsi"/>
                <w:b/>
                <w:bCs/>
              </w:rPr>
            </w:pPr>
            <w:r w:rsidRPr="00BF1EFD">
              <w:rPr>
                <w:rFonts w:cstheme="minorHAnsi"/>
                <w:b/>
                <w:bCs/>
              </w:rPr>
              <w:t>-6.861,01</w:t>
            </w:r>
          </w:p>
        </w:tc>
        <w:tc>
          <w:tcPr>
            <w:tcW w:w="1412" w:type="dxa"/>
            <w:shd w:val="clear" w:color="auto" w:fill="D9D9D9" w:themeFill="background1" w:themeFillShade="D9"/>
          </w:tcPr>
          <w:p w14:paraId="031F6599" w14:textId="77777777" w:rsidR="006B47D6" w:rsidRPr="00BF1EFD" w:rsidRDefault="006B47D6" w:rsidP="00167129">
            <w:pPr>
              <w:jc w:val="right"/>
              <w:rPr>
                <w:rFonts w:cstheme="minorHAnsi"/>
                <w:b/>
                <w:bCs/>
              </w:rPr>
            </w:pPr>
          </w:p>
          <w:p w14:paraId="6689532E" w14:textId="681098E3" w:rsidR="006B47D6" w:rsidRPr="00BF1EFD" w:rsidRDefault="006B47D6" w:rsidP="00167129">
            <w:pPr>
              <w:jc w:val="right"/>
              <w:rPr>
                <w:rFonts w:cstheme="minorHAnsi"/>
                <w:b/>
                <w:bCs/>
              </w:rPr>
            </w:pPr>
            <w:r w:rsidRPr="00BF1EFD">
              <w:rPr>
                <w:rFonts w:cstheme="minorHAnsi"/>
                <w:b/>
                <w:bCs/>
              </w:rPr>
              <w:t>-1</w:t>
            </w:r>
            <w:r w:rsidR="000364D4" w:rsidRPr="00BF1EFD">
              <w:rPr>
                <w:rFonts w:cstheme="minorHAnsi"/>
                <w:b/>
                <w:bCs/>
              </w:rPr>
              <w:t>9.298,45</w:t>
            </w:r>
          </w:p>
        </w:tc>
      </w:tr>
    </w:tbl>
    <w:p w14:paraId="1977A237" w14:textId="77777777" w:rsidR="004227A8" w:rsidRDefault="004227A8" w:rsidP="00D5337A">
      <w:pPr>
        <w:spacing w:after="0"/>
        <w:jc w:val="both"/>
        <w:rPr>
          <w:rFonts w:ascii="Calibri" w:hAnsi="Calibri" w:cs="Calibri"/>
          <w:color w:val="FF0000"/>
        </w:rPr>
      </w:pPr>
    </w:p>
    <w:p w14:paraId="5797F78C" w14:textId="4AF32B74" w:rsidR="000364D4" w:rsidRDefault="000364D4" w:rsidP="00D5337A">
      <w:pPr>
        <w:spacing w:after="0"/>
        <w:jc w:val="both"/>
        <w:rPr>
          <w:rFonts w:ascii="Calibri" w:hAnsi="Calibri" w:cs="Calibri"/>
          <w:color w:val="FF0000"/>
        </w:rPr>
      </w:pPr>
    </w:p>
    <w:p w14:paraId="20E15BB7" w14:textId="77777777" w:rsidR="00D5337A" w:rsidRPr="008A3921" w:rsidRDefault="00D5337A" w:rsidP="00D5337A">
      <w:pPr>
        <w:spacing w:after="0"/>
        <w:jc w:val="center"/>
        <w:rPr>
          <w:rFonts w:ascii="Calibri" w:hAnsi="Calibri" w:cs="Calibri"/>
        </w:rPr>
      </w:pPr>
      <w:r w:rsidRPr="008A3921">
        <w:rPr>
          <w:rFonts w:ascii="Calibri" w:hAnsi="Calibri" w:cs="Calibri"/>
          <w:b/>
        </w:rPr>
        <w:t>Bilješke uz obrazac RAS-funkcijski</w:t>
      </w:r>
    </w:p>
    <w:p w14:paraId="00883EFF" w14:textId="671B78DC" w:rsidR="00D5337A" w:rsidRPr="00E64E7A" w:rsidRDefault="00D5337A" w:rsidP="00D5337A">
      <w:pPr>
        <w:spacing w:after="0"/>
        <w:jc w:val="center"/>
        <w:rPr>
          <w:rFonts w:ascii="Calibri" w:hAnsi="Calibri" w:cs="Calibri"/>
        </w:rPr>
      </w:pPr>
      <w:r w:rsidRPr="00E64E7A">
        <w:rPr>
          <w:rFonts w:ascii="Calibri" w:hAnsi="Calibri" w:cs="Calibri"/>
        </w:rPr>
        <w:t>Bilješka 1</w:t>
      </w:r>
      <w:r w:rsidR="00EF27BD" w:rsidRPr="00E64E7A">
        <w:rPr>
          <w:rFonts w:ascii="Calibri" w:hAnsi="Calibri" w:cs="Calibri"/>
        </w:rPr>
        <w:t>8</w:t>
      </w:r>
      <w:r w:rsidRPr="00E64E7A">
        <w:rPr>
          <w:rFonts w:ascii="Calibri" w:hAnsi="Calibri" w:cs="Calibri"/>
        </w:rPr>
        <w:t>.</w:t>
      </w:r>
    </w:p>
    <w:p w14:paraId="05E56301" w14:textId="77777777" w:rsidR="00D5337A" w:rsidRPr="008A3921" w:rsidRDefault="00D5337A" w:rsidP="00D5337A">
      <w:pPr>
        <w:spacing w:after="0"/>
        <w:jc w:val="center"/>
        <w:rPr>
          <w:rFonts w:ascii="Calibri" w:hAnsi="Calibri" w:cs="Calibri"/>
        </w:rPr>
      </w:pPr>
      <w:r w:rsidRPr="00E64E7A">
        <w:rPr>
          <w:rFonts w:ascii="Calibri" w:hAnsi="Calibri" w:cs="Calibri"/>
        </w:rPr>
        <w:t xml:space="preserve">AOP 112 – Predškolsko </w:t>
      </w:r>
      <w:r w:rsidRPr="008A3921">
        <w:rPr>
          <w:rFonts w:ascii="Calibri" w:hAnsi="Calibri" w:cs="Calibri"/>
        </w:rPr>
        <w:t>obrazovanje</w:t>
      </w:r>
    </w:p>
    <w:p w14:paraId="4C13D0D7" w14:textId="77777777" w:rsidR="00D5337A" w:rsidRPr="008A3921" w:rsidRDefault="00D5337A" w:rsidP="00D5337A">
      <w:pPr>
        <w:spacing w:after="0"/>
        <w:jc w:val="both"/>
        <w:rPr>
          <w:rFonts w:ascii="Calibri" w:hAnsi="Calibri" w:cs="Calibri"/>
        </w:rPr>
      </w:pPr>
      <w:r w:rsidRPr="008A3921">
        <w:rPr>
          <w:rFonts w:ascii="Calibri" w:hAnsi="Calibri" w:cs="Calibri"/>
        </w:rPr>
        <w:t>Ukupni rashodi Dječjeg vrtića „</w:t>
      </w:r>
      <w:proofErr w:type="spellStart"/>
      <w:r w:rsidRPr="008A3921">
        <w:rPr>
          <w:rFonts w:ascii="Calibri" w:hAnsi="Calibri" w:cs="Calibri"/>
        </w:rPr>
        <w:t>Orkulice</w:t>
      </w:r>
      <w:proofErr w:type="spellEnd"/>
      <w:r w:rsidRPr="008A3921">
        <w:rPr>
          <w:rFonts w:ascii="Calibri" w:hAnsi="Calibri" w:cs="Calibri"/>
        </w:rPr>
        <w:t xml:space="preserve">“ odnose se isključivo na  funkciju 0911-Predškolsko obrazovanje. </w:t>
      </w:r>
    </w:p>
    <w:p w14:paraId="2F3FA547" w14:textId="77777777" w:rsidR="00D5337A" w:rsidRPr="004E60F5" w:rsidRDefault="00D5337A" w:rsidP="00D5337A">
      <w:pPr>
        <w:spacing w:after="0"/>
        <w:jc w:val="center"/>
        <w:rPr>
          <w:rFonts w:ascii="Calibri" w:hAnsi="Calibri" w:cs="Calibri"/>
          <w:b/>
          <w:color w:val="FF0000"/>
        </w:rPr>
      </w:pPr>
    </w:p>
    <w:p w14:paraId="37B44EDD" w14:textId="77777777" w:rsidR="00D5337A" w:rsidRPr="008A3921" w:rsidRDefault="00D5337A" w:rsidP="00D5337A">
      <w:pPr>
        <w:spacing w:after="0"/>
        <w:jc w:val="center"/>
        <w:rPr>
          <w:rFonts w:ascii="Calibri" w:hAnsi="Calibri" w:cs="Calibri"/>
        </w:rPr>
      </w:pPr>
      <w:r w:rsidRPr="008A3921">
        <w:rPr>
          <w:rFonts w:ascii="Calibri" w:hAnsi="Calibri" w:cs="Calibri"/>
          <w:b/>
        </w:rPr>
        <w:t>Bilješke uz obrazac Obveze</w:t>
      </w:r>
    </w:p>
    <w:p w14:paraId="1B42455C" w14:textId="0FF7C1BC" w:rsidR="00D5337A" w:rsidRPr="00EF27BD" w:rsidRDefault="00D5337A" w:rsidP="00D5337A">
      <w:pPr>
        <w:spacing w:after="0"/>
        <w:jc w:val="center"/>
        <w:rPr>
          <w:rFonts w:ascii="Calibri" w:hAnsi="Calibri" w:cs="Calibri"/>
        </w:rPr>
      </w:pPr>
      <w:r w:rsidRPr="00EF27BD">
        <w:rPr>
          <w:rFonts w:ascii="Calibri" w:hAnsi="Calibri" w:cs="Calibri"/>
        </w:rPr>
        <w:t>Bilješka 1</w:t>
      </w:r>
      <w:r w:rsidR="00EF27BD" w:rsidRPr="00EF27BD">
        <w:rPr>
          <w:rFonts w:ascii="Calibri" w:hAnsi="Calibri" w:cs="Calibri"/>
        </w:rPr>
        <w:t>9</w:t>
      </w:r>
      <w:r w:rsidRPr="00EF27BD">
        <w:rPr>
          <w:rFonts w:ascii="Calibri" w:hAnsi="Calibri" w:cs="Calibri"/>
        </w:rPr>
        <w:t>.</w:t>
      </w:r>
    </w:p>
    <w:p w14:paraId="586BA26D" w14:textId="2B2725AF" w:rsidR="00D5337A" w:rsidRPr="008A3921" w:rsidRDefault="00D5337A" w:rsidP="00D5337A">
      <w:pPr>
        <w:spacing w:after="0"/>
        <w:jc w:val="center"/>
        <w:rPr>
          <w:rFonts w:ascii="Calibri" w:hAnsi="Calibri" w:cs="Calibri"/>
        </w:rPr>
      </w:pPr>
      <w:r w:rsidRPr="00E64E7A">
        <w:rPr>
          <w:rFonts w:ascii="Calibri" w:hAnsi="Calibri" w:cs="Calibri"/>
        </w:rPr>
        <w:lastRenderedPageBreak/>
        <w:t>AOP 03</w:t>
      </w:r>
      <w:r w:rsidR="008A3921" w:rsidRPr="00E64E7A">
        <w:rPr>
          <w:rFonts w:ascii="Calibri" w:hAnsi="Calibri" w:cs="Calibri"/>
        </w:rPr>
        <w:t>8</w:t>
      </w:r>
      <w:r w:rsidRPr="00E64E7A">
        <w:rPr>
          <w:rFonts w:ascii="Calibri" w:hAnsi="Calibri" w:cs="Calibri"/>
        </w:rPr>
        <w:t xml:space="preserve"> – Stanje obveza </w:t>
      </w:r>
      <w:r w:rsidRPr="008A3921">
        <w:rPr>
          <w:rFonts w:ascii="Calibri" w:hAnsi="Calibri" w:cs="Calibri"/>
        </w:rPr>
        <w:t>na kraju izvještajnog razdoblja</w:t>
      </w:r>
    </w:p>
    <w:p w14:paraId="34431ECB" w14:textId="789E71E1" w:rsidR="00D5337A" w:rsidRPr="008A3921" w:rsidRDefault="00D5337A" w:rsidP="00D5337A">
      <w:pPr>
        <w:spacing w:after="0"/>
        <w:jc w:val="both"/>
        <w:rPr>
          <w:rFonts w:ascii="Calibri" w:hAnsi="Calibri" w:cs="Calibri"/>
        </w:rPr>
      </w:pPr>
      <w:r w:rsidRPr="008A3921">
        <w:rPr>
          <w:rFonts w:ascii="Calibri" w:hAnsi="Calibri" w:cs="Calibri"/>
        </w:rPr>
        <w:t>Ukupne obveze na kraju 202</w:t>
      </w:r>
      <w:r w:rsidR="008A3921" w:rsidRPr="008A3921">
        <w:rPr>
          <w:rFonts w:ascii="Calibri" w:hAnsi="Calibri" w:cs="Calibri"/>
        </w:rPr>
        <w:t>1</w:t>
      </w:r>
      <w:r w:rsidRPr="008A3921">
        <w:rPr>
          <w:rFonts w:ascii="Calibri" w:hAnsi="Calibri" w:cs="Calibri"/>
        </w:rPr>
        <w:t xml:space="preserve">. godine iznose </w:t>
      </w:r>
      <w:r w:rsidR="008A3921" w:rsidRPr="008A3921">
        <w:rPr>
          <w:rFonts w:ascii="Calibri" w:hAnsi="Calibri" w:cs="Calibri"/>
        </w:rPr>
        <w:t>57.936</w:t>
      </w:r>
      <w:r w:rsidRPr="008A3921">
        <w:rPr>
          <w:rFonts w:ascii="Calibri" w:hAnsi="Calibri" w:cs="Calibri"/>
        </w:rPr>
        <w:t xml:space="preserve"> kuna</w:t>
      </w:r>
      <w:r w:rsidR="008A3921">
        <w:rPr>
          <w:rFonts w:ascii="Calibri" w:hAnsi="Calibri" w:cs="Calibri"/>
        </w:rPr>
        <w:t>.</w:t>
      </w:r>
      <w:r w:rsidRPr="008A3921">
        <w:rPr>
          <w:rFonts w:ascii="Calibri" w:hAnsi="Calibri" w:cs="Calibri"/>
        </w:rPr>
        <w:t xml:space="preserve"> </w:t>
      </w:r>
      <w:r w:rsidR="008A3921">
        <w:rPr>
          <w:rFonts w:ascii="Calibri" w:hAnsi="Calibri" w:cs="Calibri"/>
        </w:rPr>
        <w:t>C</w:t>
      </w:r>
      <w:r w:rsidRPr="008A3921">
        <w:rPr>
          <w:rFonts w:ascii="Calibri" w:hAnsi="Calibri" w:cs="Calibri"/>
        </w:rPr>
        <w:t>jelokupni iznos obveza spada u nedospjel</w:t>
      </w:r>
      <w:r w:rsidR="008A3921">
        <w:rPr>
          <w:rFonts w:ascii="Calibri" w:hAnsi="Calibri" w:cs="Calibri"/>
        </w:rPr>
        <w:t>e</w:t>
      </w:r>
      <w:r w:rsidRPr="008A3921">
        <w:rPr>
          <w:rFonts w:ascii="Calibri" w:hAnsi="Calibri" w:cs="Calibri"/>
        </w:rPr>
        <w:t xml:space="preserve"> obveze</w:t>
      </w:r>
      <w:r w:rsidR="008A3921" w:rsidRPr="008A3921">
        <w:rPr>
          <w:rFonts w:ascii="Calibri" w:hAnsi="Calibri" w:cs="Calibri"/>
        </w:rPr>
        <w:t>, te su sve podmirene u siječnju 2022. godine</w:t>
      </w:r>
      <w:r w:rsidRPr="008A3921">
        <w:rPr>
          <w:rFonts w:ascii="Calibri" w:hAnsi="Calibri" w:cs="Calibri"/>
        </w:rPr>
        <w:t xml:space="preserve">. </w:t>
      </w:r>
    </w:p>
    <w:p w14:paraId="0E011A81" w14:textId="77777777" w:rsidR="00D5337A" w:rsidRPr="004E60F5" w:rsidRDefault="00D5337A" w:rsidP="00D5337A">
      <w:pPr>
        <w:spacing w:after="0"/>
        <w:rPr>
          <w:rFonts w:ascii="Calibri" w:hAnsi="Calibri" w:cs="Calibri"/>
          <w:color w:val="FF0000"/>
        </w:rPr>
      </w:pPr>
    </w:p>
    <w:p w14:paraId="5B6288A6" w14:textId="77777777" w:rsidR="00D5337A" w:rsidRPr="004E60F5" w:rsidRDefault="00D5337A" w:rsidP="00D5337A">
      <w:pPr>
        <w:spacing w:after="0"/>
        <w:rPr>
          <w:rFonts w:ascii="Calibri" w:hAnsi="Calibri" w:cs="Calibri"/>
          <w:color w:val="FF0000"/>
        </w:rPr>
      </w:pPr>
    </w:p>
    <w:p w14:paraId="6E213493" w14:textId="09E7D4E8" w:rsidR="00D5337A" w:rsidRPr="008A3921" w:rsidRDefault="00D5337A" w:rsidP="00D5337A">
      <w:pPr>
        <w:spacing w:after="0"/>
        <w:rPr>
          <w:rFonts w:ascii="Calibri" w:hAnsi="Calibri" w:cs="Calibri"/>
        </w:rPr>
      </w:pPr>
      <w:r w:rsidRPr="008A3921">
        <w:rPr>
          <w:rFonts w:ascii="Calibri" w:hAnsi="Calibri" w:cs="Calibri"/>
        </w:rPr>
        <w:t xml:space="preserve">U Salima, </w:t>
      </w:r>
      <w:r w:rsidR="008A3921" w:rsidRPr="008A3921">
        <w:rPr>
          <w:rFonts w:ascii="Calibri" w:hAnsi="Calibri" w:cs="Calibri"/>
        </w:rPr>
        <w:t>31</w:t>
      </w:r>
      <w:r w:rsidRPr="008A3921">
        <w:rPr>
          <w:rFonts w:ascii="Calibri" w:hAnsi="Calibri" w:cs="Calibri"/>
        </w:rPr>
        <w:t>.01.202</w:t>
      </w:r>
      <w:r w:rsidR="008A3921" w:rsidRPr="008A3921">
        <w:rPr>
          <w:rFonts w:ascii="Calibri" w:hAnsi="Calibri" w:cs="Calibri"/>
        </w:rPr>
        <w:t>2</w:t>
      </w:r>
      <w:r w:rsidRPr="008A3921">
        <w:rPr>
          <w:rFonts w:ascii="Calibri" w:hAnsi="Calibri" w:cs="Calibri"/>
        </w:rPr>
        <w:t>. godine</w:t>
      </w:r>
      <w:r w:rsidRPr="008A3921">
        <w:rPr>
          <w:rFonts w:ascii="Calibri" w:hAnsi="Calibri" w:cs="Calibri"/>
        </w:rPr>
        <w:tab/>
      </w:r>
    </w:p>
    <w:p w14:paraId="0AEAD74D" w14:textId="77777777" w:rsidR="00D5337A" w:rsidRPr="008A3921" w:rsidRDefault="00D5337A" w:rsidP="00D5337A">
      <w:pPr>
        <w:spacing w:after="0"/>
        <w:rPr>
          <w:rFonts w:ascii="Calibri" w:hAnsi="Calibri" w:cs="Calibri"/>
        </w:rPr>
      </w:pPr>
    </w:p>
    <w:p w14:paraId="6E526E06" w14:textId="77777777" w:rsidR="00D5337A" w:rsidRPr="008A3921" w:rsidRDefault="00D5337A" w:rsidP="00D5337A">
      <w:pPr>
        <w:spacing w:after="0"/>
        <w:rPr>
          <w:rFonts w:ascii="Calibri" w:hAnsi="Calibri" w:cs="Calibri"/>
        </w:rPr>
      </w:pPr>
    </w:p>
    <w:p w14:paraId="6B53E033" w14:textId="77777777" w:rsidR="00D5337A" w:rsidRPr="008A3921" w:rsidRDefault="00D5337A" w:rsidP="00D5337A">
      <w:pPr>
        <w:spacing w:after="0"/>
        <w:rPr>
          <w:rFonts w:ascii="Calibri" w:hAnsi="Calibri" w:cs="Calibri"/>
        </w:rPr>
      </w:pPr>
    </w:p>
    <w:p w14:paraId="0BCD06D5" w14:textId="77777777" w:rsidR="00D5337A" w:rsidRPr="008A3921" w:rsidRDefault="00D5337A" w:rsidP="00D5337A">
      <w:pPr>
        <w:spacing w:after="0"/>
        <w:rPr>
          <w:rFonts w:ascii="Calibri" w:hAnsi="Calibri" w:cs="Calibri"/>
        </w:rPr>
      </w:pPr>
    </w:p>
    <w:p w14:paraId="538BC80F" w14:textId="77777777" w:rsidR="00D5337A" w:rsidRPr="008A3921" w:rsidRDefault="00D5337A" w:rsidP="00D5337A">
      <w:pPr>
        <w:spacing w:after="0"/>
        <w:rPr>
          <w:rFonts w:ascii="Calibri" w:hAnsi="Calibri" w:cs="Calibri"/>
        </w:rPr>
      </w:pPr>
      <w:bookmarkStart w:id="0" w:name="_Hlk62214750"/>
      <w:r w:rsidRPr="008A3921">
        <w:rPr>
          <w:rFonts w:ascii="Calibri" w:hAnsi="Calibri" w:cs="Calibri"/>
        </w:rPr>
        <w:t>Osoba za kontaktiranje:</w:t>
      </w:r>
      <w:r w:rsidRPr="008A3921">
        <w:rPr>
          <w:rFonts w:ascii="Calibri" w:hAnsi="Calibri" w:cs="Calibri"/>
        </w:rPr>
        <w:tab/>
      </w:r>
      <w:r w:rsidRPr="008A3921">
        <w:rPr>
          <w:rFonts w:ascii="Calibri" w:hAnsi="Calibri" w:cs="Calibri"/>
        </w:rPr>
        <w:tab/>
      </w:r>
      <w:r w:rsidRPr="008A3921">
        <w:rPr>
          <w:rFonts w:ascii="Calibri" w:hAnsi="Calibri" w:cs="Calibri"/>
        </w:rPr>
        <w:tab/>
        <w:t xml:space="preserve"> </w:t>
      </w:r>
      <w:r w:rsidRPr="008A3921">
        <w:rPr>
          <w:rFonts w:ascii="Calibri" w:hAnsi="Calibri" w:cs="Calibri"/>
        </w:rPr>
        <w:tab/>
        <w:t xml:space="preserve">Jelena </w:t>
      </w:r>
      <w:proofErr w:type="spellStart"/>
      <w:r w:rsidRPr="008A3921">
        <w:rPr>
          <w:rFonts w:ascii="Calibri" w:hAnsi="Calibri" w:cs="Calibri"/>
        </w:rPr>
        <w:t>Grbin</w:t>
      </w:r>
      <w:proofErr w:type="spellEnd"/>
      <w:r w:rsidRPr="008A3921">
        <w:rPr>
          <w:rFonts w:ascii="Calibri" w:hAnsi="Calibri" w:cs="Calibri"/>
        </w:rPr>
        <w:tab/>
      </w:r>
      <w:r w:rsidRPr="008A3921">
        <w:rPr>
          <w:rFonts w:ascii="Calibri" w:hAnsi="Calibri" w:cs="Calibri"/>
        </w:rPr>
        <w:tab/>
      </w:r>
      <w:r w:rsidRPr="008A3921">
        <w:rPr>
          <w:rFonts w:ascii="Calibri" w:hAnsi="Calibri" w:cs="Calibri"/>
        </w:rPr>
        <w:tab/>
      </w:r>
      <w:r w:rsidRPr="008A3921">
        <w:rPr>
          <w:rFonts w:ascii="Calibri" w:hAnsi="Calibri" w:cs="Calibri"/>
        </w:rPr>
        <w:tab/>
      </w:r>
      <w:r w:rsidRPr="008A3921">
        <w:rPr>
          <w:rFonts w:ascii="Calibri" w:hAnsi="Calibri" w:cs="Calibri"/>
        </w:rPr>
        <w:tab/>
      </w:r>
    </w:p>
    <w:p w14:paraId="3486C782" w14:textId="77777777" w:rsidR="00D5337A" w:rsidRPr="008A3921" w:rsidRDefault="00D5337A" w:rsidP="00D5337A">
      <w:pPr>
        <w:spacing w:after="0"/>
        <w:rPr>
          <w:rFonts w:ascii="Calibri" w:hAnsi="Calibri" w:cs="Calibri"/>
        </w:rPr>
      </w:pPr>
      <w:r w:rsidRPr="008A3921">
        <w:rPr>
          <w:rFonts w:ascii="Calibri" w:hAnsi="Calibri" w:cs="Calibri"/>
        </w:rPr>
        <w:t xml:space="preserve">Telefon za kontakt: </w:t>
      </w:r>
      <w:r w:rsidRPr="008A3921">
        <w:rPr>
          <w:rFonts w:ascii="Calibri" w:hAnsi="Calibri" w:cs="Calibri"/>
        </w:rPr>
        <w:tab/>
      </w:r>
      <w:r w:rsidRPr="008A3921">
        <w:rPr>
          <w:rFonts w:ascii="Calibri" w:hAnsi="Calibri" w:cs="Calibri"/>
        </w:rPr>
        <w:tab/>
      </w:r>
      <w:r w:rsidRPr="008A3921">
        <w:rPr>
          <w:rFonts w:ascii="Calibri" w:hAnsi="Calibri" w:cs="Calibri"/>
        </w:rPr>
        <w:tab/>
      </w:r>
      <w:r w:rsidRPr="008A3921">
        <w:rPr>
          <w:rFonts w:ascii="Calibri" w:hAnsi="Calibri" w:cs="Calibri"/>
        </w:rPr>
        <w:tab/>
        <w:t>023377042</w:t>
      </w:r>
      <w:r w:rsidRPr="008A3921">
        <w:rPr>
          <w:rFonts w:ascii="Calibri" w:hAnsi="Calibri" w:cs="Calibri"/>
        </w:rPr>
        <w:tab/>
      </w:r>
    </w:p>
    <w:p w14:paraId="31A09AD2" w14:textId="77777777" w:rsidR="00D5337A" w:rsidRPr="008A3921" w:rsidRDefault="00D5337A" w:rsidP="00D5337A">
      <w:pPr>
        <w:spacing w:after="0"/>
        <w:rPr>
          <w:rFonts w:ascii="Calibri" w:hAnsi="Calibri" w:cs="Calibri"/>
        </w:rPr>
      </w:pPr>
      <w:r w:rsidRPr="008A3921">
        <w:rPr>
          <w:rFonts w:ascii="Calibri" w:hAnsi="Calibri" w:cs="Calibri"/>
        </w:rPr>
        <w:t>Osoba koja je izradila financijske izvještaje:</w:t>
      </w:r>
      <w:r w:rsidRPr="008A3921">
        <w:rPr>
          <w:rFonts w:ascii="Calibri" w:hAnsi="Calibri" w:cs="Calibri"/>
        </w:rPr>
        <w:tab/>
        <w:t xml:space="preserve">Jelena </w:t>
      </w:r>
      <w:proofErr w:type="spellStart"/>
      <w:r w:rsidRPr="008A3921">
        <w:rPr>
          <w:rFonts w:ascii="Calibri" w:hAnsi="Calibri" w:cs="Calibri"/>
        </w:rPr>
        <w:t>Grbin</w:t>
      </w:r>
      <w:proofErr w:type="spellEnd"/>
      <w:r w:rsidRPr="008A3921">
        <w:rPr>
          <w:rFonts w:ascii="Calibri" w:hAnsi="Calibri" w:cs="Calibri"/>
        </w:rPr>
        <w:t xml:space="preserve"> </w:t>
      </w:r>
      <w:r w:rsidRPr="008A3921">
        <w:rPr>
          <w:rFonts w:ascii="Calibri" w:hAnsi="Calibri" w:cs="Calibri"/>
        </w:rPr>
        <w:tab/>
      </w:r>
      <w:r w:rsidRPr="008A3921">
        <w:rPr>
          <w:rFonts w:ascii="Calibri" w:hAnsi="Calibri" w:cs="Calibri"/>
        </w:rPr>
        <w:tab/>
      </w:r>
      <w:r w:rsidRPr="008A3921">
        <w:rPr>
          <w:rFonts w:ascii="Calibri" w:hAnsi="Calibri" w:cs="Calibri"/>
        </w:rPr>
        <w:tab/>
      </w:r>
    </w:p>
    <w:p w14:paraId="796046E6" w14:textId="77777777" w:rsidR="00D5337A" w:rsidRPr="008A3921" w:rsidRDefault="00D5337A" w:rsidP="00D5337A">
      <w:pPr>
        <w:spacing w:after="0"/>
        <w:rPr>
          <w:rFonts w:ascii="Calibri" w:hAnsi="Calibri" w:cs="Calibri"/>
        </w:rPr>
      </w:pPr>
    </w:p>
    <w:p w14:paraId="037D9F0F" w14:textId="44044636" w:rsidR="00D5337A" w:rsidRDefault="00D5337A" w:rsidP="00D5337A">
      <w:pPr>
        <w:spacing w:after="0"/>
        <w:ind w:left="5664"/>
        <w:rPr>
          <w:rFonts w:ascii="Calibri" w:hAnsi="Calibri" w:cs="Calibri"/>
        </w:rPr>
      </w:pPr>
    </w:p>
    <w:p w14:paraId="73065C28" w14:textId="560A62DD" w:rsidR="004F477D" w:rsidRDefault="004F477D" w:rsidP="00D5337A">
      <w:pPr>
        <w:spacing w:after="0"/>
        <w:ind w:left="5664"/>
        <w:rPr>
          <w:rFonts w:ascii="Calibri" w:hAnsi="Calibri" w:cs="Calibri"/>
        </w:rPr>
      </w:pPr>
    </w:p>
    <w:p w14:paraId="677FADB2" w14:textId="77777777" w:rsidR="004F477D" w:rsidRPr="008A3921" w:rsidRDefault="004F477D" w:rsidP="00D5337A">
      <w:pPr>
        <w:spacing w:after="0"/>
        <w:ind w:left="5664"/>
        <w:rPr>
          <w:rFonts w:ascii="Calibri" w:hAnsi="Calibri" w:cs="Calibri"/>
        </w:rPr>
      </w:pPr>
    </w:p>
    <w:p w14:paraId="054BA931" w14:textId="77777777" w:rsidR="00D5337A" w:rsidRPr="008A3921" w:rsidRDefault="00D5337A" w:rsidP="00D5337A">
      <w:pPr>
        <w:spacing w:after="0"/>
        <w:ind w:left="5664"/>
        <w:rPr>
          <w:rFonts w:ascii="Calibri" w:hAnsi="Calibri" w:cs="Calibri"/>
        </w:rPr>
      </w:pPr>
      <w:r w:rsidRPr="008A3921">
        <w:rPr>
          <w:rFonts w:ascii="Calibri" w:hAnsi="Calibri" w:cs="Calibri"/>
        </w:rPr>
        <w:t xml:space="preserve">Ravnateljica: </w:t>
      </w:r>
      <w:bookmarkEnd w:id="0"/>
      <w:proofErr w:type="spellStart"/>
      <w:r w:rsidRPr="008A3921">
        <w:rPr>
          <w:rFonts w:ascii="Calibri" w:hAnsi="Calibri" w:cs="Calibri"/>
        </w:rPr>
        <w:t>Šimica</w:t>
      </w:r>
      <w:proofErr w:type="spellEnd"/>
      <w:r w:rsidRPr="008A3921">
        <w:rPr>
          <w:rFonts w:ascii="Calibri" w:hAnsi="Calibri" w:cs="Calibri"/>
        </w:rPr>
        <w:t xml:space="preserve"> Kalcina</w:t>
      </w:r>
    </w:p>
    <w:p w14:paraId="42A66CC1" w14:textId="77777777" w:rsidR="00D5337A" w:rsidRPr="004E60F5" w:rsidRDefault="00D5337A" w:rsidP="00D5337A">
      <w:pPr>
        <w:spacing w:after="0"/>
        <w:rPr>
          <w:rFonts w:ascii="Calibri" w:hAnsi="Calibri" w:cs="Calibri"/>
        </w:rPr>
      </w:pPr>
    </w:p>
    <w:p w14:paraId="4C1FB36E" w14:textId="77777777" w:rsidR="00570F93" w:rsidRPr="004E60F5" w:rsidRDefault="00570F93">
      <w:pPr>
        <w:rPr>
          <w:rFonts w:ascii="Calibri" w:hAnsi="Calibri" w:cs="Calibri"/>
        </w:rPr>
      </w:pPr>
    </w:p>
    <w:sectPr w:rsidR="00570F93" w:rsidRPr="004E6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20288"/>
    <w:multiLevelType w:val="hybridMultilevel"/>
    <w:tmpl w:val="B4FA7A14"/>
    <w:lvl w:ilvl="0" w:tplc="5602FD3C">
      <w:start w:val="1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7364FB6"/>
    <w:multiLevelType w:val="hybridMultilevel"/>
    <w:tmpl w:val="91608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7A"/>
    <w:rsid w:val="000010F9"/>
    <w:rsid w:val="000364D4"/>
    <w:rsid w:val="00154A7A"/>
    <w:rsid w:val="0017321F"/>
    <w:rsid w:val="001C1F51"/>
    <w:rsid w:val="001D0F22"/>
    <w:rsid w:val="0023359B"/>
    <w:rsid w:val="00297931"/>
    <w:rsid w:val="002A1C78"/>
    <w:rsid w:val="002C6EC1"/>
    <w:rsid w:val="002C7785"/>
    <w:rsid w:val="002E2580"/>
    <w:rsid w:val="002F4DC8"/>
    <w:rsid w:val="00315BD8"/>
    <w:rsid w:val="003824D4"/>
    <w:rsid w:val="0039690C"/>
    <w:rsid w:val="003A644D"/>
    <w:rsid w:val="003B08B6"/>
    <w:rsid w:val="003F4FD3"/>
    <w:rsid w:val="004227A8"/>
    <w:rsid w:val="0046374B"/>
    <w:rsid w:val="00477F79"/>
    <w:rsid w:val="00485D15"/>
    <w:rsid w:val="004C6133"/>
    <w:rsid w:val="004E60F5"/>
    <w:rsid w:val="004F477D"/>
    <w:rsid w:val="00570F93"/>
    <w:rsid w:val="005D0311"/>
    <w:rsid w:val="00621B6F"/>
    <w:rsid w:val="00641183"/>
    <w:rsid w:val="00647DC3"/>
    <w:rsid w:val="006659DA"/>
    <w:rsid w:val="006B47D6"/>
    <w:rsid w:val="00712E10"/>
    <w:rsid w:val="007609C1"/>
    <w:rsid w:val="007B4CBC"/>
    <w:rsid w:val="0084698B"/>
    <w:rsid w:val="00860620"/>
    <w:rsid w:val="008A3921"/>
    <w:rsid w:val="008D5F0A"/>
    <w:rsid w:val="00917A22"/>
    <w:rsid w:val="00930D22"/>
    <w:rsid w:val="00934AB5"/>
    <w:rsid w:val="00976868"/>
    <w:rsid w:val="009A25F8"/>
    <w:rsid w:val="009B6471"/>
    <w:rsid w:val="009C176D"/>
    <w:rsid w:val="009D788A"/>
    <w:rsid w:val="009E1159"/>
    <w:rsid w:val="009E2F06"/>
    <w:rsid w:val="009E39A2"/>
    <w:rsid w:val="00A35A27"/>
    <w:rsid w:val="00A77AD0"/>
    <w:rsid w:val="00AB1113"/>
    <w:rsid w:val="00AE4447"/>
    <w:rsid w:val="00B0601D"/>
    <w:rsid w:val="00B125D3"/>
    <w:rsid w:val="00B363C2"/>
    <w:rsid w:val="00B652EC"/>
    <w:rsid w:val="00B971C3"/>
    <w:rsid w:val="00BB03F4"/>
    <w:rsid w:val="00BF1EFD"/>
    <w:rsid w:val="00BF4BC5"/>
    <w:rsid w:val="00C7496A"/>
    <w:rsid w:val="00D5337A"/>
    <w:rsid w:val="00E15B8F"/>
    <w:rsid w:val="00E27583"/>
    <w:rsid w:val="00E51D9A"/>
    <w:rsid w:val="00E57289"/>
    <w:rsid w:val="00E64E7A"/>
    <w:rsid w:val="00E87A39"/>
    <w:rsid w:val="00EF27BD"/>
    <w:rsid w:val="00F12ADC"/>
    <w:rsid w:val="00F4451A"/>
    <w:rsid w:val="00FE37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661D"/>
  <w15:chartTrackingRefBased/>
  <w15:docId w15:val="{C6D25D13-C480-4C33-A1C3-1D461F47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7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5337A"/>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6B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9340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2022-01-27T11:38:00Z</dcterms:created>
  <dcterms:modified xsi:type="dcterms:W3CDTF">2022-01-27T11:38:00Z</dcterms:modified>
</cp:coreProperties>
</file>