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0A1DA" w14:textId="2DF7AF09" w:rsidR="00FA2C29" w:rsidRDefault="00FA2C29">
      <w:pPr>
        <w:rPr>
          <w:color w:val="000000"/>
          <w:sz w:val="27"/>
          <w:szCs w:val="27"/>
        </w:rPr>
      </w:pPr>
      <w:r>
        <w:rPr>
          <w:rFonts w:ascii="Arial" w:hAnsi="Arial" w:cs="Arial"/>
          <w:sz w:val="24"/>
          <w:szCs w:val="24"/>
        </w:rPr>
        <w:t xml:space="preserve">Temeljem Uredbe o gospodarenju komunalnim otpadom (NN </w:t>
      </w:r>
      <w:r>
        <w:rPr>
          <w:color w:val="000000"/>
          <w:sz w:val="27"/>
          <w:szCs w:val="27"/>
        </w:rPr>
        <w:t>„Narodne novine“, broj 50/17, </w:t>
      </w:r>
      <w:r>
        <w:rPr>
          <w:rStyle w:val="Naglaeno"/>
          <w:color w:val="000000"/>
          <w:sz w:val="27"/>
          <w:szCs w:val="27"/>
        </w:rPr>
        <w:t>84/19</w:t>
      </w:r>
      <w:r>
        <w:rPr>
          <w:color w:val="000000"/>
          <w:sz w:val="27"/>
          <w:szCs w:val="27"/>
        </w:rPr>
        <w:t> i </w:t>
      </w:r>
      <w:r>
        <w:rPr>
          <w:rStyle w:val="Naglaeno"/>
          <w:color w:val="000000"/>
          <w:sz w:val="27"/>
          <w:szCs w:val="27"/>
        </w:rPr>
        <w:t>14/20</w:t>
      </w:r>
      <w:r>
        <w:rPr>
          <w:color w:val="000000"/>
          <w:sz w:val="27"/>
          <w:szCs w:val="27"/>
        </w:rPr>
        <w:t xml:space="preserve"> ),  Mulić d.o.o. </w:t>
      </w:r>
      <w:r w:rsidR="002E38DE">
        <w:rPr>
          <w:color w:val="000000"/>
          <w:sz w:val="27"/>
          <w:szCs w:val="27"/>
        </w:rPr>
        <w:t xml:space="preserve">, zastupano po direktoru Stjepanu Ligutiću, ing.stroj </w:t>
      </w:r>
      <w:r w:rsidR="00641A06">
        <w:rPr>
          <w:color w:val="000000"/>
          <w:sz w:val="27"/>
          <w:szCs w:val="27"/>
        </w:rPr>
        <w:t>objavljuje</w:t>
      </w:r>
      <w:r w:rsidR="002E38DE">
        <w:rPr>
          <w:color w:val="000000"/>
          <w:sz w:val="27"/>
          <w:szCs w:val="27"/>
        </w:rPr>
        <w:t xml:space="preserve"> </w:t>
      </w:r>
    </w:p>
    <w:p w14:paraId="458A58F8" w14:textId="5370694D" w:rsidR="002E38DE" w:rsidRPr="00D94780" w:rsidRDefault="00FC1491" w:rsidP="00453C13">
      <w:pPr>
        <w:jc w:val="center"/>
        <w:rPr>
          <w:b/>
          <w:bCs/>
          <w:color w:val="000000"/>
          <w:sz w:val="27"/>
          <w:szCs w:val="27"/>
        </w:rPr>
      </w:pPr>
      <w:r w:rsidRPr="00D94780">
        <w:rPr>
          <w:b/>
          <w:bCs/>
          <w:color w:val="000000"/>
          <w:sz w:val="27"/>
          <w:szCs w:val="27"/>
        </w:rPr>
        <w:t>C</w:t>
      </w:r>
      <w:r w:rsidR="00453C13" w:rsidRPr="00D94780">
        <w:rPr>
          <w:b/>
          <w:bCs/>
          <w:color w:val="000000"/>
          <w:sz w:val="27"/>
          <w:szCs w:val="27"/>
        </w:rPr>
        <w:t>JENIK JAVNE USLUGE PRIKUPLJANJA MIJEŠANOG KOMUNALNOG OTPADA, BIORAZGRADIVOG KOMUNALNOG OTPADA, TE USLUGA POVEZANIH S JAVNOM USLUGOM ZA PODRUČJE OPĆINE SALI</w:t>
      </w:r>
    </w:p>
    <w:p w14:paraId="66CFFA00" w14:textId="563A4CE4" w:rsidR="00DB5C21" w:rsidRPr="00D30238" w:rsidRDefault="00FA2C29" w:rsidP="00D30238">
      <w:pPr>
        <w:pStyle w:val="Odlomakpopisa"/>
        <w:numPr>
          <w:ilvl w:val="0"/>
          <w:numId w:val="1"/>
        </w:numPr>
        <w:rPr>
          <w:rFonts w:ascii="Arial" w:hAnsi="Arial" w:cs="Arial"/>
          <w:sz w:val="24"/>
          <w:szCs w:val="24"/>
        </w:rPr>
      </w:pPr>
      <w:r w:rsidRPr="00FA2C29">
        <w:rPr>
          <w:rFonts w:ascii="Arial" w:hAnsi="Arial" w:cs="Arial"/>
          <w:sz w:val="24"/>
          <w:szCs w:val="24"/>
        </w:rPr>
        <w:t xml:space="preserve">Visina jedinstvene cijene </w:t>
      </w:r>
      <w:r w:rsidR="00A36C7B">
        <w:rPr>
          <w:rFonts w:ascii="Arial" w:hAnsi="Arial" w:cs="Arial"/>
          <w:sz w:val="24"/>
          <w:szCs w:val="24"/>
        </w:rPr>
        <w:t xml:space="preserve">javne usluge </w:t>
      </w:r>
      <w:r w:rsidRPr="00FA2C29">
        <w:rPr>
          <w:rFonts w:ascii="Arial" w:hAnsi="Arial" w:cs="Arial"/>
          <w:sz w:val="24"/>
          <w:szCs w:val="24"/>
        </w:rPr>
        <w:t xml:space="preserve">za </w:t>
      </w:r>
      <w:r w:rsidRPr="00A36C7B">
        <w:rPr>
          <w:rFonts w:ascii="Arial" w:hAnsi="Arial" w:cs="Arial"/>
          <w:b/>
          <w:bCs/>
          <w:sz w:val="24"/>
          <w:szCs w:val="24"/>
        </w:rPr>
        <w:t>kategoriju kućanstvo</w:t>
      </w:r>
      <w:r w:rsidRPr="00FA2C29">
        <w:rPr>
          <w:rFonts w:ascii="Arial" w:hAnsi="Arial" w:cs="Arial"/>
          <w:sz w:val="24"/>
          <w:szCs w:val="24"/>
        </w:rPr>
        <w:t xml:space="preserve">  iznosi </w:t>
      </w:r>
    </w:p>
    <w:tbl>
      <w:tblPr>
        <w:tblStyle w:val="Reetkatablice"/>
        <w:tblW w:w="0" w:type="auto"/>
        <w:tblInd w:w="360" w:type="dxa"/>
        <w:tblLook w:val="04A0" w:firstRow="1" w:lastRow="0" w:firstColumn="1" w:lastColumn="0" w:noHBand="0" w:noVBand="1"/>
      </w:tblPr>
      <w:tblGrid>
        <w:gridCol w:w="1665"/>
        <w:gridCol w:w="1405"/>
        <w:gridCol w:w="1405"/>
        <w:gridCol w:w="1427"/>
        <w:gridCol w:w="1400"/>
      </w:tblGrid>
      <w:tr w:rsidR="00035B95" w14:paraId="28B4CDF6" w14:textId="77777777" w:rsidTr="00035B95">
        <w:tc>
          <w:tcPr>
            <w:tcW w:w="1665" w:type="dxa"/>
          </w:tcPr>
          <w:p w14:paraId="0A043A5A" w14:textId="77777777" w:rsidR="00035B95" w:rsidRDefault="00035B95" w:rsidP="00DB5C21">
            <w:pPr>
              <w:rPr>
                <w:rFonts w:ascii="Arial" w:hAnsi="Arial" w:cs="Arial"/>
                <w:sz w:val="24"/>
                <w:szCs w:val="24"/>
              </w:rPr>
            </w:pPr>
          </w:p>
        </w:tc>
        <w:tc>
          <w:tcPr>
            <w:tcW w:w="1405" w:type="dxa"/>
          </w:tcPr>
          <w:p w14:paraId="5F3F36C8" w14:textId="77777777" w:rsidR="00035B95" w:rsidRDefault="00035B95" w:rsidP="00DB5C21">
            <w:pPr>
              <w:rPr>
                <w:rFonts w:ascii="Arial" w:hAnsi="Arial" w:cs="Arial"/>
                <w:sz w:val="24"/>
                <w:szCs w:val="24"/>
              </w:rPr>
            </w:pPr>
          </w:p>
        </w:tc>
        <w:tc>
          <w:tcPr>
            <w:tcW w:w="1405" w:type="dxa"/>
          </w:tcPr>
          <w:p w14:paraId="17257751" w14:textId="77777777" w:rsidR="00035B95" w:rsidRDefault="00035B95" w:rsidP="00DB5C21">
            <w:pPr>
              <w:rPr>
                <w:rFonts w:ascii="Arial" w:hAnsi="Arial" w:cs="Arial"/>
                <w:sz w:val="24"/>
                <w:szCs w:val="24"/>
              </w:rPr>
            </w:pPr>
          </w:p>
        </w:tc>
        <w:tc>
          <w:tcPr>
            <w:tcW w:w="1427" w:type="dxa"/>
          </w:tcPr>
          <w:p w14:paraId="135F1E0B" w14:textId="77777777" w:rsidR="00035B95" w:rsidRDefault="00035B95" w:rsidP="00DB5C21">
            <w:pPr>
              <w:rPr>
                <w:rFonts w:ascii="Arial" w:hAnsi="Arial" w:cs="Arial"/>
                <w:sz w:val="24"/>
                <w:szCs w:val="24"/>
              </w:rPr>
            </w:pPr>
          </w:p>
        </w:tc>
        <w:tc>
          <w:tcPr>
            <w:tcW w:w="1400" w:type="dxa"/>
          </w:tcPr>
          <w:p w14:paraId="431047A4" w14:textId="77777777" w:rsidR="00035B95" w:rsidRDefault="00035B95" w:rsidP="00DB5C21">
            <w:pPr>
              <w:rPr>
                <w:rFonts w:ascii="Arial" w:hAnsi="Arial" w:cs="Arial"/>
                <w:sz w:val="24"/>
                <w:szCs w:val="24"/>
              </w:rPr>
            </w:pPr>
          </w:p>
        </w:tc>
      </w:tr>
      <w:tr w:rsidR="00035B95" w14:paraId="2C45075D" w14:textId="77777777" w:rsidTr="00035B95">
        <w:tc>
          <w:tcPr>
            <w:tcW w:w="1665" w:type="dxa"/>
          </w:tcPr>
          <w:p w14:paraId="48F53093" w14:textId="4F89610E" w:rsidR="00035B95" w:rsidRDefault="00641A06" w:rsidP="00DB5C21">
            <w:pPr>
              <w:rPr>
                <w:rFonts w:ascii="Arial" w:hAnsi="Arial" w:cs="Arial"/>
                <w:sz w:val="24"/>
                <w:szCs w:val="24"/>
              </w:rPr>
            </w:pPr>
            <w:bookmarkStart w:id="0" w:name="_Hlk53660225"/>
            <w:bookmarkStart w:id="1" w:name="_Hlk53660198"/>
            <w:r>
              <w:rPr>
                <w:rFonts w:ascii="Arial" w:hAnsi="Arial" w:cs="Arial"/>
                <w:sz w:val="24"/>
                <w:szCs w:val="24"/>
              </w:rPr>
              <w:t>Vrsta spremnika</w:t>
            </w:r>
          </w:p>
        </w:tc>
        <w:tc>
          <w:tcPr>
            <w:tcW w:w="1405" w:type="dxa"/>
          </w:tcPr>
          <w:p w14:paraId="4FC006BB" w14:textId="547A5388" w:rsidR="00035B95" w:rsidRPr="00035B95" w:rsidRDefault="00035B95" w:rsidP="00DB5C21">
            <w:pPr>
              <w:rPr>
                <w:rFonts w:ascii="Arial" w:hAnsi="Arial" w:cs="Arial"/>
                <w:sz w:val="20"/>
                <w:szCs w:val="20"/>
              </w:rPr>
            </w:pPr>
            <w:r w:rsidRPr="00035B95">
              <w:rPr>
                <w:rFonts w:ascii="Arial" w:hAnsi="Arial" w:cs="Arial"/>
                <w:sz w:val="20"/>
                <w:szCs w:val="20"/>
              </w:rPr>
              <w:t>Cijena obavezne minimalne javne usluge-odvoz 1x tj</w:t>
            </w:r>
          </w:p>
        </w:tc>
        <w:tc>
          <w:tcPr>
            <w:tcW w:w="1405" w:type="dxa"/>
          </w:tcPr>
          <w:p w14:paraId="0155543E" w14:textId="6A9B4718" w:rsidR="00035B95" w:rsidRDefault="00035B95" w:rsidP="00DB5C21">
            <w:pPr>
              <w:rPr>
                <w:rFonts w:ascii="Arial" w:hAnsi="Arial" w:cs="Arial"/>
                <w:sz w:val="24"/>
                <w:szCs w:val="24"/>
              </w:rPr>
            </w:pPr>
            <w:r w:rsidRPr="00035B95">
              <w:rPr>
                <w:rFonts w:ascii="Arial" w:hAnsi="Arial" w:cs="Arial"/>
                <w:sz w:val="20"/>
                <w:szCs w:val="20"/>
              </w:rPr>
              <w:t xml:space="preserve">Cijena obavezne minimalne javne usluge-odvoz </w:t>
            </w:r>
            <w:r>
              <w:rPr>
                <w:rFonts w:ascii="Arial" w:hAnsi="Arial" w:cs="Arial"/>
                <w:sz w:val="20"/>
                <w:szCs w:val="20"/>
              </w:rPr>
              <w:t>2</w:t>
            </w:r>
            <w:r w:rsidRPr="00035B95">
              <w:rPr>
                <w:rFonts w:ascii="Arial" w:hAnsi="Arial" w:cs="Arial"/>
                <w:sz w:val="20"/>
                <w:szCs w:val="20"/>
              </w:rPr>
              <w:t>x tj</w:t>
            </w:r>
          </w:p>
        </w:tc>
        <w:tc>
          <w:tcPr>
            <w:tcW w:w="1427" w:type="dxa"/>
          </w:tcPr>
          <w:p w14:paraId="418D8406" w14:textId="342C13C1" w:rsidR="00035B95" w:rsidRDefault="00035B95" w:rsidP="000B7FB5">
            <w:pPr>
              <w:jc w:val="both"/>
              <w:rPr>
                <w:rFonts w:ascii="Arial" w:hAnsi="Arial" w:cs="Arial"/>
                <w:sz w:val="24"/>
                <w:szCs w:val="24"/>
              </w:rPr>
            </w:pPr>
            <w:r w:rsidRPr="00035B95">
              <w:rPr>
                <w:rFonts w:ascii="Arial" w:hAnsi="Arial" w:cs="Arial"/>
                <w:sz w:val="20"/>
                <w:szCs w:val="20"/>
              </w:rPr>
              <w:t xml:space="preserve">Cijena obavezne minimalne javne usluge-odvoz </w:t>
            </w:r>
            <w:r>
              <w:rPr>
                <w:rFonts w:ascii="Arial" w:hAnsi="Arial" w:cs="Arial"/>
                <w:sz w:val="20"/>
                <w:szCs w:val="20"/>
              </w:rPr>
              <w:t>3</w:t>
            </w:r>
            <w:r w:rsidRPr="00035B95">
              <w:rPr>
                <w:rFonts w:ascii="Arial" w:hAnsi="Arial" w:cs="Arial"/>
                <w:sz w:val="20"/>
                <w:szCs w:val="20"/>
              </w:rPr>
              <w:t>x tj</w:t>
            </w:r>
          </w:p>
        </w:tc>
        <w:tc>
          <w:tcPr>
            <w:tcW w:w="1400" w:type="dxa"/>
          </w:tcPr>
          <w:p w14:paraId="6D0EA82E" w14:textId="41515A87" w:rsidR="00035B95" w:rsidRPr="00035B95" w:rsidRDefault="00035B95" w:rsidP="00DB5C21">
            <w:pPr>
              <w:rPr>
                <w:rFonts w:ascii="Arial" w:hAnsi="Arial" w:cs="Arial"/>
                <w:sz w:val="20"/>
                <w:szCs w:val="20"/>
              </w:rPr>
            </w:pPr>
            <w:r w:rsidRPr="00035B95">
              <w:rPr>
                <w:rFonts w:ascii="Arial" w:hAnsi="Arial" w:cs="Arial"/>
                <w:sz w:val="20"/>
                <w:szCs w:val="20"/>
              </w:rPr>
              <w:t>Pražnjenje spremnika</w:t>
            </w:r>
          </w:p>
        </w:tc>
      </w:tr>
      <w:tr w:rsidR="00035B95" w14:paraId="39510E60" w14:textId="77777777" w:rsidTr="00035B95">
        <w:trPr>
          <w:trHeight w:val="865"/>
        </w:trPr>
        <w:tc>
          <w:tcPr>
            <w:tcW w:w="1665" w:type="dxa"/>
          </w:tcPr>
          <w:p w14:paraId="463DC5D1" w14:textId="72C4FD0F" w:rsidR="00035B95" w:rsidRDefault="00035B95" w:rsidP="00DB5C21">
            <w:pPr>
              <w:rPr>
                <w:rFonts w:ascii="Arial" w:hAnsi="Arial" w:cs="Arial"/>
                <w:sz w:val="24"/>
                <w:szCs w:val="24"/>
              </w:rPr>
            </w:pPr>
            <w:r>
              <w:rPr>
                <w:rFonts w:ascii="Arial" w:hAnsi="Arial" w:cs="Arial"/>
                <w:sz w:val="24"/>
                <w:szCs w:val="24"/>
              </w:rPr>
              <w:t>SPREMNIK 120 L ZA MKO</w:t>
            </w:r>
          </w:p>
        </w:tc>
        <w:tc>
          <w:tcPr>
            <w:tcW w:w="1405" w:type="dxa"/>
          </w:tcPr>
          <w:p w14:paraId="554CE0F2" w14:textId="77777777" w:rsidR="00035B95" w:rsidRDefault="00035B95" w:rsidP="00DB5C21">
            <w:pPr>
              <w:jc w:val="center"/>
              <w:rPr>
                <w:rFonts w:ascii="Arial" w:hAnsi="Arial" w:cs="Arial"/>
                <w:sz w:val="24"/>
                <w:szCs w:val="24"/>
              </w:rPr>
            </w:pPr>
            <w:r>
              <w:rPr>
                <w:rFonts w:ascii="Arial" w:hAnsi="Arial" w:cs="Arial"/>
                <w:sz w:val="24"/>
                <w:szCs w:val="24"/>
              </w:rPr>
              <w:t>38,75</w:t>
            </w:r>
          </w:p>
          <w:p w14:paraId="214E248D" w14:textId="77777777" w:rsidR="00035B95" w:rsidRDefault="00035B95" w:rsidP="00DB5C21">
            <w:pPr>
              <w:jc w:val="center"/>
              <w:rPr>
                <w:rFonts w:ascii="Arial" w:hAnsi="Arial" w:cs="Arial"/>
                <w:sz w:val="24"/>
                <w:szCs w:val="24"/>
              </w:rPr>
            </w:pPr>
            <w:r>
              <w:rPr>
                <w:rFonts w:ascii="Arial" w:hAnsi="Arial" w:cs="Arial"/>
                <w:sz w:val="24"/>
                <w:szCs w:val="24"/>
              </w:rPr>
              <w:t>Sa pdv-om</w:t>
            </w:r>
          </w:p>
          <w:p w14:paraId="6550621C" w14:textId="1C0AC878" w:rsidR="00035B95" w:rsidRDefault="00035B95" w:rsidP="00DB5C21">
            <w:pPr>
              <w:jc w:val="center"/>
              <w:rPr>
                <w:rFonts w:ascii="Arial" w:hAnsi="Arial" w:cs="Arial"/>
                <w:sz w:val="24"/>
                <w:szCs w:val="24"/>
              </w:rPr>
            </w:pPr>
            <w:r>
              <w:rPr>
                <w:rFonts w:ascii="Arial" w:hAnsi="Arial" w:cs="Arial"/>
                <w:sz w:val="24"/>
                <w:szCs w:val="24"/>
              </w:rPr>
              <w:t>43,79</w:t>
            </w:r>
          </w:p>
        </w:tc>
        <w:tc>
          <w:tcPr>
            <w:tcW w:w="1405" w:type="dxa"/>
          </w:tcPr>
          <w:p w14:paraId="60B0EAB1" w14:textId="77777777" w:rsidR="00035B95" w:rsidRDefault="00035B95" w:rsidP="00DB5C21">
            <w:pPr>
              <w:jc w:val="center"/>
              <w:rPr>
                <w:rFonts w:ascii="Arial" w:hAnsi="Arial" w:cs="Arial"/>
                <w:sz w:val="24"/>
                <w:szCs w:val="24"/>
              </w:rPr>
            </w:pPr>
            <w:r>
              <w:rPr>
                <w:rFonts w:ascii="Arial" w:hAnsi="Arial" w:cs="Arial"/>
                <w:sz w:val="24"/>
                <w:szCs w:val="24"/>
              </w:rPr>
              <w:t>50,94</w:t>
            </w:r>
          </w:p>
          <w:p w14:paraId="7E28637A" w14:textId="77777777" w:rsidR="00035B95" w:rsidRDefault="00035B95" w:rsidP="00035B95">
            <w:pPr>
              <w:jc w:val="center"/>
              <w:rPr>
                <w:rFonts w:ascii="Arial" w:hAnsi="Arial" w:cs="Arial"/>
                <w:sz w:val="24"/>
                <w:szCs w:val="24"/>
              </w:rPr>
            </w:pPr>
            <w:r>
              <w:rPr>
                <w:rFonts w:ascii="Arial" w:hAnsi="Arial" w:cs="Arial"/>
                <w:sz w:val="24"/>
                <w:szCs w:val="24"/>
              </w:rPr>
              <w:t>Sa pdv-om</w:t>
            </w:r>
          </w:p>
          <w:p w14:paraId="4ADAC741" w14:textId="07789FED" w:rsidR="00035B95" w:rsidRDefault="00035B95" w:rsidP="00035B95">
            <w:pPr>
              <w:jc w:val="center"/>
              <w:rPr>
                <w:rFonts w:ascii="Arial" w:hAnsi="Arial" w:cs="Arial"/>
                <w:sz w:val="24"/>
                <w:szCs w:val="24"/>
              </w:rPr>
            </w:pPr>
            <w:r>
              <w:rPr>
                <w:rFonts w:ascii="Arial" w:hAnsi="Arial" w:cs="Arial"/>
                <w:sz w:val="24"/>
                <w:szCs w:val="24"/>
              </w:rPr>
              <w:t>57,56</w:t>
            </w:r>
          </w:p>
        </w:tc>
        <w:tc>
          <w:tcPr>
            <w:tcW w:w="1427" w:type="dxa"/>
          </w:tcPr>
          <w:p w14:paraId="2EE8F84C" w14:textId="77777777" w:rsidR="00035B95" w:rsidRDefault="00035B95" w:rsidP="002E38DE">
            <w:pPr>
              <w:jc w:val="center"/>
              <w:rPr>
                <w:rFonts w:ascii="Arial" w:hAnsi="Arial" w:cs="Arial"/>
                <w:sz w:val="24"/>
                <w:szCs w:val="24"/>
              </w:rPr>
            </w:pPr>
            <w:r>
              <w:rPr>
                <w:rFonts w:ascii="Arial" w:hAnsi="Arial" w:cs="Arial"/>
                <w:sz w:val="24"/>
                <w:szCs w:val="24"/>
              </w:rPr>
              <w:t>63,54</w:t>
            </w:r>
          </w:p>
          <w:p w14:paraId="3A8A359B" w14:textId="77777777" w:rsidR="00035B95" w:rsidRDefault="00035B95" w:rsidP="00035B95">
            <w:pPr>
              <w:jc w:val="center"/>
              <w:rPr>
                <w:rFonts w:ascii="Arial" w:hAnsi="Arial" w:cs="Arial"/>
                <w:sz w:val="24"/>
                <w:szCs w:val="24"/>
              </w:rPr>
            </w:pPr>
            <w:r>
              <w:rPr>
                <w:rFonts w:ascii="Arial" w:hAnsi="Arial" w:cs="Arial"/>
                <w:sz w:val="24"/>
                <w:szCs w:val="24"/>
              </w:rPr>
              <w:t>Sa pdv-om</w:t>
            </w:r>
          </w:p>
          <w:p w14:paraId="461AEAC5" w14:textId="7DC693E9" w:rsidR="00035B95" w:rsidRDefault="00035B95" w:rsidP="002E38DE">
            <w:pPr>
              <w:jc w:val="center"/>
              <w:rPr>
                <w:rFonts w:ascii="Arial" w:hAnsi="Arial" w:cs="Arial"/>
                <w:sz w:val="24"/>
                <w:szCs w:val="24"/>
              </w:rPr>
            </w:pPr>
            <w:r>
              <w:rPr>
                <w:rFonts w:ascii="Arial" w:hAnsi="Arial" w:cs="Arial"/>
                <w:sz w:val="24"/>
                <w:szCs w:val="24"/>
              </w:rPr>
              <w:t>71,80</w:t>
            </w:r>
          </w:p>
        </w:tc>
        <w:tc>
          <w:tcPr>
            <w:tcW w:w="1400" w:type="dxa"/>
          </w:tcPr>
          <w:p w14:paraId="007E96A3" w14:textId="77777777" w:rsidR="002E38DE" w:rsidRDefault="00035B95" w:rsidP="002E38DE">
            <w:pPr>
              <w:jc w:val="center"/>
              <w:rPr>
                <w:rFonts w:ascii="Arial" w:hAnsi="Arial" w:cs="Arial"/>
                <w:sz w:val="24"/>
                <w:szCs w:val="24"/>
              </w:rPr>
            </w:pPr>
            <w:r>
              <w:rPr>
                <w:rFonts w:ascii="Arial" w:hAnsi="Arial" w:cs="Arial"/>
                <w:sz w:val="24"/>
                <w:szCs w:val="24"/>
              </w:rPr>
              <w:t xml:space="preserve">3,60 </w:t>
            </w:r>
          </w:p>
          <w:p w14:paraId="5A6EBFA2" w14:textId="48DDCFED" w:rsidR="00035B95" w:rsidRDefault="00035B95" w:rsidP="002E38DE">
            <w:pPr>
              <w:jc w:val="center"/>
              <w:rPr>
                <w:rFonts w:ascii="Arial" w:hAnsi="Arial" w:cs="Arial"/>
                <w:sz w:val="24"/>
                <w:szCs w:val="24"/>
              </w:rPr>
            </w:pPr>
            <w:r>
              <w:rPr>
                <w:rFonts w:ascii="Arial" w:hAnsi="Arial" w:cs="Arial"/>
                <w:sz w:val="24"/>
                <w:szCs w:val="24"/>
              </w:rPr>
              <w:t>Sa pdv-om</w:t>
            </w:r>
          </w:p>
          <w:p w14:paraId="11AD5F76" w14:textId="5E593739" w:rsidR="00035B95" w:rsidRDefault="00035B95" w:rsidP="00035B95">
            <w:pPr>
              <w:jc w:val="center"/>
              <w:rPr>
                <w:rFonts w:ascii="Arial" w:hAnsi="Arial" w:cs="Arial"/>
                <w:sz w:val="24"/>
                <w:szCs w:val="24"/>
              </w:rPr>
            </w:pPr>
            <w:r>
              <w:rPr>
                <w:rFonts w:ascii="Arial" w:hAnsi="Arial" w:cs="Arial"/>
                <w:sz w:val="24"/>
                <w:szCs w:val="24"/>
              </w:rPr>
              <w:t>4,07</w:t>
            </w:r>
          </w:p>
        </w:tc>
      </w:tr>
      <w:bookmarkEnd w:id="0"/>
      <w:tr w:rsidR="002E38DE" w14:paraId="3C4BADA8" w14:textId="77777777" w:rsidTr="00035B95">
        <w:trPr>
          <w:trHeight w:val="865"/>
        </w:trPr>
        <w:tc>
          <w:tcPr>
            <w:tcW w:w="1665" w:type="dxa"/>
          </w:tcPr>
          <w:p w14:paraId="27EA1D9A" w14:textId="5CD35FDE" w:rsidR="002E38DE" w:rsidRDefault="002E38DE" w:rsidP="00DB5C21">
            <w:pPr>
              <w:rPr>
                <w:rFonts w:ascii="Arial" w:hAnsi="Arial" w:cs="Arial"/>
                <w:sz w:val="24"/>
                <w:szCs w:val="24"/>
              </w:rPr>
            </w:pPr>
            <w:r>
              <w:rPr>
                <w:rFonts w:ascii="Arial" w:hAnsi="Arial" w:cs="Arial"/>
                <w:sz w:val="24"/>
                <w:szCs w:val="24"/>
              </w:rPr>
              <w:t>ZAJEDNIČKI SPREMNICI</w:t>
            </w:r>
          </w:p>
        </w:tc>
        <w:tc>
          <w:tcPr>
            <w:tcW w:w="1405" w:type="dxa"/>
          </w:tcPr>
          <w:p w14:paraId="54018D69" w14:textId="77777777" w:rsidR="002E38DE" w:rsidRDefault="002E38DE" w:rsidP="002E38DE">
            <w:pPr>
              <w:jc w:val="center"/>
              <w:rPr>
                <w:rFonts w:ascii="Arial" w:hAnsi="Arial" w:cs="Arial"/>
                <w:sz w:val="24"/>
                <w:szCs w:val="24"/>
              </w:rPr>
            </w:pPr>
            <w:r>
              <w:rPr>
                <w:rFonts w:ascii="Arial" w:hAnsi="Arial" w:cs="Arial"/>
                <w:sz w:val="24"/>
                <w:szCs w:val="24"/>
              </w:rPr>
              <w:t>38,75</w:t>
            </w:r>
          </w:p>
          <w:p w14:paraId="5A9AE47D" w14:textId="77777777" w:rsidR="002E38DE" w:rsidRDefault="002E38DE" w:rsidP="002E38DE">
            <w:pPr>
              <w:jc w:val="center"/>
              <w:rPr>
                <w:rFonts w:ascii="Arial" w:hAnsi="Arial" w:cs="Arial"/>
                <w:sz w:val="24"/>
                <w:szCs w:val="24"/>
              </w:rPr>
            </w:pPr>
            <w:r>
              <w:rPr>
                <w:rFonts w:ascii="Arial" w:hAnsi="Arial" w:cs="Arial"/>
                <w:sz w:val="24"/>
                <w:szCs w:val="24"/>
              </w:rPr>
              <w:t>Sa pdv-om</w:t>
            </w:r>
          </w:p>
          <w:p w14:paraId="5B7E724A" w14:textId="033C661B" w:rsidR="002E38DE" w:rsidRDefault="002E38DE" w:rsidP="002E38DE">
            <w:pPr>
              <w:jc w:val="center"/>
              <w:rPr>
                <w:rFonts w:ascii="Arial" w:hAnsi="Arial" w:cs="Arial"/>
                <w:sz w:val="24"/>
                <w:szCs w:val="24"/>
              </w:rPr>
            </w:pPr>
            <w:r>
              <w:rPr>
                <w:rFonts w:ascii="Arial" w:hAnsi="Arial" w:cs="Arial"/>
                <w:sz w:val="24"/>
                <w:szCs w:val="24"/>
              </w:rPr>
              <w:t>43,79</w:t>
            </w:r>
          </w:p>
        </w:tc>
        <w:tc>
          <w:tcPr>
            <w:tcW w:w="1405" w:type="dxa"/>
          </w:tcPr>
          <w:p w14:paraId="60BE679E" w14:textId="77777777" w:rsidR="002E38DE" w:rsidRDefault="002E38DE" w:rsidP="002E38DE">
            <w:pPr>
              <w:jc w:val="center"/>
              <w:rPr>
                <w:rFonts w:ascii="Arial" w:hAnsi="Arial" w:cs="Arial"/>
                <w:sz w:val="24"/>
                <w:szCs w:val="24"/>
              </w:rPr>
            </w:pPr>
            <w:r>
              <w:rPr>
                <w:rFonts w:ascii="Arial" w:hAnsi="Arial" w:cs="Arial"/>
                <w:sz w:val="24"/>
                <w:szCs w:val="24"/>
              </w:rPr>
              <w:t>50,94</w:t>
            </w:r>
          </w:p>
          <w:p w14:paraId="0399F743" w14:textId="77777777" w:rsidR="002E38DE" w:rsidRDefault="002E38DE" w:rsidP="002E38DE">
            <w:pPr>
              <w:jc w:val="center"/>
              <w:rPr>
                <w:rFonts w:ascii="Arial" w:hAnsi="Arial" w:cs="Arial"/>
                <w:sz w:val="24"/>
                <w:szCs w:val="24"/>
              </w:rPr>
            </w:pPr>
            <w:r>
              <w:rPr>
                <w:rFonts w:ascii="Arial" w:hAnsi="Arial" w:cs="Arial"/>
                <w:sz w:val="24"/>
                <w:szCs w:val="24"/>
              </w:rPr>
              <w:t>Sa pdv-om</w:t>
            </w:r>
          </w:p>
          <w:p w14:paraId="1CF35674" w14:textId="44AF772B" w:rsidR="002E38DE" w:rsidRDefault="002E38DE" w:rsidP="002E38DE">
            <w:pPr>
              <w:jc w:val="center"/>
              <w:rPr>
                <w:rFonts w:ascii="Arial" w:hAnsi="Arial" w:cs="Arial"/>
                <w:sz w:val="24"/>
                <w:szCs w:val="24"/>
              </w:rPr>
            </w:pPr>
            <w:r>
              <w:rPr>
                <w:rFonts w:ascii="Arial" w:hAnsi="Arial" w:cs="Arial"/>
                <w:sz w:val="24"/>
                <w:szCs w:val="24"/>
              </w:rPr>
              <w:t>57,56</w:t>
            </w:r>
          </w:p>
        </w:tc>
        <w:tc>
          <w:tcPr>
            <w:tcW w:w="1427" w:type="dxa"/>
          </w:tcPr>
          <w:p w14:paraId="396EC01D" w14:textId="77777777" w:rsidR="002E38DE" w:rsidRDefault="002E38DE" w:rsidP="002E38DE">
            <w:pPr>
              <w:jc w:val="center"/>
              <w:rPr>
                <w:rFonts w:ascii="Arial" w:hAnsi="Arial" w:cs="Arial"/>
                <w:sz w:val="24"/>
                <w:szCs w:val="24"/>
              </w:rPr>
            </w:pPr>
            <w:r>
              <w:rPr>
                <w:rFonts w:ascii="Arial" w:hAnsi="Arial" w:cs="Arial"/>
                <w:sz w:val="24"/>
                <w:szCs w:val="24"/>
              </w:rPr>
              <w:t>63,54</w:t>
            </w:r>
          </w:p>
          <w:p w14:paraId="68CCDEBE" w14:textId="77777777" w:rsidR="002E38DE" w:rsidRDefault="002E38DE" w:rsidP="002E38DE">
            <w:pPr>
              <w:jc w:val="center"/>
              <w:rPr>
                <w:rFonts w:ascii="Arial" w:hAnsi="Arial" w:cs="Arial"/>
                <w:sz w:val="24"/>
                <w:szCs w:val="24"/>
              </w:rPr>
            </w:pPr>
            <w:r>
              <w:rPr>
                <w:rFonts w:ascii="Arial" w:hAnsi="Arial" w:cs="Arial"/>
                <w:sz w:val="24"/>
                <w:szCs w:val="24"/>
              </w:rPr>
              <w:t>Sa pdv-om</w:t>
            </w:r>
          </w:p>
          <w:p w14:paraId="3E486440" w14:textId="168A006F" w:rsidR="002E38DE" w:rsidRDefault="002E38DE" w:rsidP="002E38DE">
            <w:pPr>
              <w:jc w:val="center"/>
              <w:rPr>
                <w:rFonts w:ascii="Arial" w:hAnsi="Arial" w:cs="Arial"/>
                <w:sz w:val="24"/>
                <w:szCs w:val="24"/>
              </w:rPr>
            </w:pPr>
            <w:r>
              <w:rPr>
                <w:rFonts w:ascii="Arial" w:hAnsi="Arial" w:cs="Arial"/>
                <w:sz w:val="24"/>
                <w:szCs w:val="24"/>
              </w:rPr>
              <w:t>71,80</w:t>
            </w:r>
          </w:p>
        </w:tc>
        <w:tc>
          <w:tcPr>
            <w:tcW w:w="1400" w:type="dxa"/>
          </w:tcPr>
          <w:p w14:paraId="61680B27" w14:textId="375E419A" w:rsidR="002E38DE" w:rsidRDefault="0083665A" w:rsidP="002E38DE">
            <w:pPr>
              <w:jc w:val="center"/>
              <w:rPr>
                <w:rFonts w:ascii="Arial" w:hAnsi="Arial" w:cs="Arial"/>
                <w:sz w:val="24"/>
                <w:szCs w:val="24"/>
              </w:rPr>
            </w:pPr>
            <w:r>
              <w:rPr>
                <w:rFonts w:ascii="Arial" w:hAnsi="Arial" w:cs="Arial"/>
                <w:sz w:val="24"/>
                <w:szCs w:val="24"/>
              </w:rPr>
              <w:t>0,03/L</w:t>
            </w:r>
            <w:r w:rsidR="002E38DE">
              <w:rPr>
                <w:rFonts w:ascii="Arial" w:hAnsi="Arial" w:cs="Arial"/>
                <w:sz w:val="24"/>
                <w:szCs w:val="24"/>
              </w:rPr>
              <w:t xml:space="preserve"> </w:t>
            </w:r>
          </w:p>
          <w:p w14:paraId="6F80B56D" w14:textId="77777777" w:rsidR="002E38DE" w:rsidRDefault="002E38DE" w:rsidP="002E38DE">
            <w:pPr>
              <w:jc w:val="center"/>
              <w:rPr>
                <w:rFonts w:ascii="Arial" w:hAnsi="Arial" w:cs="Arial"/>
                <w:sz w:val="24"/>
                <w:szCs w:val="24"/>
              </w:rPr>
            </w:pPr>
            <w:r>
              <w:rPr>
                <w:rFonts w:ascii="Arial" w:hAnsi="Arial" w:cs="Arial"/>
                <w:sz w:val="24"/>
                <w:szCs w:val="24"/>
              </w:rPr>
              <w:t>Sa pdv-om</w:t>
            </w:r>
          </w:p>
          <w:p w14:paraId="7A3AC95B" w14:textId="58BCFF4A" w:rsidR="002E38DE" w:rsidRDefault="0083665A" w:rsidP="002E38DE">
            <w:pPr>
              <w:jc w:val="center"/>
              <w:rPr>
                <w:rFonts w:ascii="Arial" w:hAnsi="Arial" w:cs="Arial"/>
                <w:sz w:val="24"/>
                <w:szCs w:val="24"/>
              </w:rPr>
            </w:pPr>
            <w:r>
              <w:rPr>
                <w:rFonts w:ascii="Arial" w:hAnsi="Arial" w:cs="Arial"/>
                <w:sz w:val="24"/>
                <w:szCs w:val="24"/>
              </w:rPr>
              <w:t>0,033</w:t>
            </w:r>
          </w:p>
        </w:tc>
      </w:tr>
      <w:bookmarkEnd w:id="1"/>
    </w:tbl>
    <w:p w14:paraId="5A7E5075" w14:textId="6783F124" w:rsidR="00DB5C21" w:rsidRDefault="00DB5C21" w:rsidP="00F96216">
      <w:pPr>
        <w:rPr>
          <w:rFonts w:ascii="Arial" w:hAnsi="Arial" w:cs="Arial"/>
          <w:sz w:val="24"/>
          <w:szCs w:val="24"/>
        </w:rPr>
      </w:pPr>
    </w:p>
    <w:tbl>
      <w:tblPr>
        <w:tblStyle w:val="Reetkatablice"/>
        <w:tblW w:w="7695" w:type="dxa"/>
        <w:tblInd w:w="402" w:type="dxa"/>
        <w:tblLook w:val="04A0" w:firstRow="1" w:lastRow="0" w:firstColumn="1" w:lastColumn="0" w:noHBand="0" w:noVBand="1"/>
      </w:tblPr>
      <w:tblGrid>
        <w:gridCol w:w="2985"/>
        <w:gridCol w:w="1548"/>
        <w:gridCol w:w="1581"/>
        <w:gridCol w:w="1581"/>
      </w:tblGrid>
      <w:tr w:rsidR="0083665A" w14:paraId="1E9CFE82" w14:textId="5A87B72D" w:rsidTr="0083665A">
        <w:tc>
          <w:tcPr>
            <w:tcW w:w="2985" w:type="dxa"/>
          </w:tcPr>
          <w:p w14:paraId="2037DAF3" w14:textId="05E634DB" w:rsidR="0083665A" w:rsidRPr="002E38DE" w:rsidRDefault="0083665A" w:rsidP="002E38DE">
            <w:pPr>
              <w:rPr>
                <w:rFonts w:ascii="Arial" w:hAnsi="Arial" w:cs="Arial"/>
              </w:rPr>
            </w:pPr>
            <w:r w:rsidRPr="002E38DE">
              <w:rPr>
                <w:rFonts w:ascii="Arial" w:hAnsi="Arial" w:cs="Arial"/>
              </w:rPr>
              <w:t>INDIVIDUALNI I ZAJEDNIČKI SPREMNICI SVIH ZAPREMNINA ZA SEZONSKE KORISNIKE USLUGA- CIJENA OBAVEZNE MINIMALNE  JAVNE USLUGE</w:t>
            </w:r>
          </w:p>
        </w:tc>
        <w:tc>
          <w:tcPr>
            <w:tcW w:w="1548" w:type="dxa"/>
          </w:tcPr>
          <w:p w14:paraId="43B60615" w14:textId="77777777" w:rsidR="0083665A" w:rsidRPr="002E38DE" w:rsidRDefault="0083665A" w:rsidP="00F96216">
            <w:pPr>
              <w:rPr>
                <w:rFonts w:ascii="Arial" w:hAnsi="Arial" w:cs="Arial"/>
              </w:rPr>
            </w:pPr>
            <w:r w:rsidRPr="002E38DE">
              <w:rPr>
                <w:rFonts w:ascii="Arial" w:hAnsi="Arial" w:cs="Arial"/>
              </w:rPr>
              <w:t>MJESEČNO</w:t>
            </w:r>
          </w:p>
          <w:p w14:paraId="58F9DBE7" w14:textId="77777777" w:rsidR="0083665A" w:rsidRDefault="0083665A" w:rsidP="00F96216">
            <w:pPr>
              <w:rPr>
                <w:rFonts w:ascii="Arial" w:hAnsi="Arial" w:cs="Arial"/>
                <w:sz w:val="24"/>
                <w:szCs w:val="24"/>
              </w:rPr>
            </w:pPr>
          </w:p>
          <w:p w14:paraId="19D753CD" w14:textId="36FB124D" w:rsidR="0083665A" w:rsidRDefault="0083665A" w:rsidP="0083665A">
            <w:pPr>
              <w:jc w:val="center"/>
              <w:rPr>
                <w:rFonts w:ascii="Arial" w:hAnsi="Arial" w:cs="Arial"/>
                <w:sz w:val="24"/>
                <w:szCs w:val="24"/>
              </w:rPr>
            </w:pPr>
            <w:r>
              <w:rPr>
                <w:rFonts w:ascii="Arial" w:hAnsi="Arial" w:cs="Arial"/>
                <w:sz w:val="24"/>
                <w:szCs w:val="24"/>
              </w:rPr>
              <w:t>34,25</w:t>
            </w:r>
          </w:p>
        </w:tc>
        <w:tc>
          <w:tcPr>
            <w:tcW w:w="1581" w:type="dxa"/>
          </w:tcPr>
          <w:p w14:paraId="73834F59" w14:textId="04761526" w:rsidR="0083665A" w:rsidRPr="002E38DE" w:rsidRDefault="0083665A" w:rsidP="00F96216">
            <w:pPr>
              <w:rPr>
                <w:rFonts w:ascii="Arial" w:hAnsi="Arial" w:cs="Arial"/>
              </w:rPr>
            </w:pPr>
            <w:r w:rsidRPr="002E38DE">
              <w:rPr>
                <w:rFonts w:ascii="Arial" w:hAnsi="Arial" w:cs="Arial"/>
              </w:rPr>
              <w:t>MJESEČNO SA PDV-OM</w:t>
            </w:r>
          </w:p>
          <w:p w14:paraId="74B6A9CC" w14:textId="72006763" w:rsidR="0083665A" w:rsidRDefault="0083665A" w:rsidP="0083665A">
            <w:pPr>
              <w:jc w:val="center"/>
              <w:rPr>
                <w:rFonts w:ascii="Arial" w:hAnsi="Arial" w:cs="Arial"/>
                <w:sz w:val="24"/>
                <w:szCs w:val="24"/>
              </w:rPr>
            </w:pPr>
            <w:r>
              <w:rPr>
                <w:rFonts w:ascii="Arial" w:hAnsi="Arial" w:cs="Arial"/>
                <w:sz w:val="24"/>
                <w:szCs w:val="24"/>
              </w:rPr>
              <w:t>38,70</w:t>
            </w:r>
          </w:p>
        </w:tc>
        <w:tc>
          <w:tcPr>
            <w:tcW w:w="1581" w:type="dxa"/>
          </w:tcPr>
          <w:p w14:paraId="74C0F296" w14:textId="77777777" w:rsidR="0083665A" w:rsidRPr="0083665A" w:rsidRDefault="0083665A" w:rsidP="0083665A">
            <w:pPr>
              <w:jc w:val="center"/>
              <w:rPr>
                <w:rFonts w:ascii="Arial" w:hAnsi="Arial" w:cs="Arial"/>
              </w:rPr>
            </w:pPr>
            <w:r w:rsidRPr="0083665A">
              <w:rPr>
                <w:rFonts w:ascii="Arial" w:hAnsi="Arial" w:cs="Arial"/>
              </w:rPr>
              <w:t>Pražnjenje spremnika</w:t>
            </w:r>
          </w:p>
          <w:p w14:paraId="29274FA4" w14:textId="7F1C0DE1" w:rsidR="0083665A" w:rsidRPr="0083665A" w:rsidRDefault="0083665A" w:rsidP="0083665A">
            <w:pPr>
              <w:jc w:val="center"/>
              <w:rPr>
                <w:rFonts w:ascii="Arial" w:hAnsi="Arial" w:cs="Arial"/>
              </w:rPr>
            </w:pPr>
            <w:r w:rsidRPr="0083665A">
              <w:rPr>
                <w:rFonts w:ascii="Arial" w:hAnsi="Arial" w:cs="Arial"/>
              </w:rPr>
              <w:t>3,60</w:t>
            </w:r>
          </w:p>
          <w:p w14:paraId="642716D3" w14:textId="77777777" w:rsidR="0083665A" w:rsidRPr="0083665A" w:rsidRDefault="0083665A" w:rsidP="0083665A">
            <w:pPr>
              <w:rPr>
                <w:rFonts w:ascii="Arial" w:hAnsi="Arial" w:cs="Arial"/>
              </w:rPr>
            </w:pPr>
            <w:r w:rsidRPr="0083665A">
              <w:rPr>
                <w:rFonts w:ascii="Arial" w:hAnsi="Arial" w:cs="Arial"/>
              </w:rPr>
              <w:t>Sa pdv-om</w:t>
            </w:r>
          </w:p>
          <w:p w14:paraId="238B1F67" w14:textId="4AA38B19" w:rsidR="0083665A" w:rsidRPr="002E38DE" w:rsidRDefault="0083665A" w:rsidP="0083665A">
            <w:pPr>
              <w:jc w:val="center"/>
              <w:rPr>
                <w:rFonts w:ascii="Arial" w:hAnsi="Arial" w:cs="Arial"/>
              </w:rPr>
            </w:pPr>
            <w:r w:rsidRPr="0083665A">
              <w:rPr>
                <w:rFonts w:ascii="Arial" w:hAnsi="Arial" w:cs="Arial"/>
              </w:rPr>
              <w:t>4,07</w:t>
            </w:r>
          </w:p>
        </w:tc>
      </w:tr>
    </w:tbl>
    <w:p w14:paraId="4BC6E41E" w14:textId="77777777" w:rsidR="002E38DE" w:rsidRPr="00DB5C21" w:rsidRDefault="002E38DE" w:rsidP="00F96216">
      <w:pPr>
        <w:rPr>
          <w:rFonts w:ascii="Arial" w:hAnsi="Arial" w:cs="Arial"/>
          <w:sz w:val="24"/>
          <w:szCs w:val="24"/>
        </w:rPr>
      </w:pPr>
    </w:p>
    <w:p w14:paraId="35FF65E2" w14:textId="456D9896" w:rsidR="00384A5C" w:rsidRPr="00384A5C" w:rsidRDefault="00384A5C" w:rsidP="00384A5C">
      <w:pPr>
        <w:rPr>
          <w:rFonts w:ascii="Arial" w:hAnsi="Arial" w:cs="Arial"/>
          <w:sz w:val="24"/>
          <w:szCs w:val="24"/>
        </w:rPr>
      </w:pPr>
      <w:r w:rsidRPr="00384A5C">
        <w:rPr>
          <w:rFonts w:ascii="Arial" w:hAnsi="Arial" w:cs="Arial"/>
          <w:sz w:val="24"/>
          <w:szCs w:val="24"/>
        </w:rPr>
        <w:t>Za korisnike usluge davatelj usluge određuje broj primopredaja spremnika u skladu sa slijedećom minimalnom učestalošću:</w:t>
      </w:r>
    </w:p>
    <w:p w14:paraId="21F472AF" w14:textId="7D9DB7C9" w:rsidR="00384A5C" w:rsidRPr="00384A5C" w:rsidRDefault="00384A5C" w:rsidP="00384A5C">
      <w:pPr>
        <w:rPr>
          <w:rFonts w:ascii="Arial" w:hAnsi="Arial" w:cs="Arial"/>
          <w:sz w:val="24"/>
          <w:szCs w:val="24"/>
        </w:rPr>
      </w:pPr>
      <w:r w:rsidRPr="00384A5C">
        <w:rPr>
          <w:rFonts w:ascii="Arial" w:hAnsi="Arial" w:cs="Arial"/>
          <w:sz w:val="24"/>
          <w:szCs w:val="24"/>
        </w:rPr>
        <w:t>Najmanje jednom mjesečno za otpadni papir, karton,</w:t>
      </w:r>
      <w:r w:rsidR="00677862">
        <w:rPr>
          <w:rFonts w:ascii="Arial" w:hAnsi="Arial" w:cs="Arial"/>
          <w:sz w:val="24"/>
          <w:szCs w:val="24"/>
        </w:rPr>
        <w:t xml:space="preserve"> </w:t>
      </w:r>
      <w:r w:rsidRPr="00384A5C">
        <w:rPr>
          <w:rFonts w:ascii="Arial" w:hAnsi="Arial" w:cs="Arial"/>
          <w:sz w:val="24"/>
          <w:szCs w:val="24"/>
        </w:rPr>
        <w:t>staklo</w:t>
      </w:r>
      <w:r w:rsidR="00677862">
        <w:rPr>
          <w:rFonts w:ascii="Arial" w:hAnsi="Arial" w:cs="Arial"/>
          <w:sz w:val="24"/>
          <w:szCs w:val="24"/>
        </w:rPr>
        <w:t xml:space="preserve"> i</w:t>
      </w:r>
      <w:r w:rsidRPr="00384A5C">
        <w:rPr>
          <w:rFonts w:ascii="Arial" w:hAnsi="Arial" w:cs="Arial"/>
          <w:sz w:val="24"/>
          <w:szCs w:val="24"/>
        </w:rPr>
        <w:t xml:space="preserve"> plastik</w:t>
      </w:r>
      <w:r w:rsidR="00677862">
        <w:rPr>
          <w:rFonts w:ascii="Arial" w:hAnsi="Arial" w:cs="Arial"/>
          <w:sz w:val="24"/>
          <w:szCs w:val="24"/>
        </w:rPr>
        <w:t>u.</w:t>
      </w:r>
    </w:p>
    <w:p w14:paraId="502CAD50" w14:textId="104DB962" w:rsidR="00A36C7B" w:rsidRDefault="00384A5C" w:rsidP="00384A5C">
      <w:pPr>
        <w:rPr>
          <w:rFonts w:ascii="Arial" w:hAnsi="Arial" w:cs="Arial"/>
          <w:sz w:val="24"/>
          <w:szCs w:val="24"/>
        </w:rPr>
      </w:pPr>
      <w:r w:rsidRPr="00384A5C">
        <w:rPr>
          <w:rFonts w:ascii="Arial" w:hAnsi="Arial" w:cs="Arial"/>
          <w:sz w:val="24"/>
          <w:szCs w:val="24"/>
        </w:rPr>
        <w:t xml:space="preserve">Najmanje jednom </w:t>
      </w:r>
      <w:r w:rsidR="001027EF">
        <w:rPr>
          <w:rFonts w:ascii="Arial" w:hAnsi="Arial" w:cs="Arial"/>
          <w:sz w:val="24"/>
          <w:szCs w:val="24"/>
        </w:rPr>
        <w:t>tjedno</w:t>
      </w:r>
      <w:r w:rsidRPr="00384A5C">
        <w:rPr>
          <w:rFonts w:ascii="Arial" w:hAnsi="Arial" w:cs="Arial"/>
          <w:sz w:val="24"/>
          <w:szCs w:val="24"/>
        </w:rPr>
        <w:t xml:space="preserve"> za miješani komunalni otpad i</w:t>
      </w:r>
      <w:r>
        <w:rPr>
          <w:rFonts w:ascii="Arial" w:hAnsi="Arial" w:cs="Arial"/>
          <w:sz w:val="24"/>
          <w:szCs w:val="24"/>
        </w:rPr>
        <w:t xml:space="preserve"> n</w:t>
      </w:r>
      <w:r w:rsidRPr="00384A5C">
        <w:rPr>
          <w:rFonts w:ascii="Arial" w:hAnsi="Arial" w:cs="Arial"/>
          <w:sz w:val="24"/>
          <w:szCs w:val="24"/>
        </w:rPr>
        <w:t xml:space="preserve">ajmanje </w:t>
      </w:r>
      <w:r w:rsidR="001B7B3C">
        <w:rPr>
          <w:rFonts w:ascii="Arial" w:hAnsi="Arial" w:cs="Arial"/>
          <w:sz w:val="24"/>
          <w:szCs w:val="24"/>
        </w:rPr>
        <w:t>jednom</w:t>
      </w:r>
      <w:r w:rsidRPr="00384A5C">
        <w:rPr>
          <w:rFonts w:ascii="Arial" w:hAnsi="Arial" w:cs="Arial"/>
          <w:sz w:val="24"/>
          <w:szCs w:val="24"/>
        </w:rPr>
        <w:t xml:space="preserve"> tjedno za biootpad</w:t>
      </w:r>
      <w:r>
        <w:rPr>
          <w:rFonts w:ascii="Arial" w:hAnsi="Arial" w:cs="Arial"/>
          <w:sz w:val="24"/>
          <w:szCs w:val="24"/>
        </w:rPr>
        <w:t>.</w:t>
      </w:r>
    </w:p>
    <w:p w14:paraId="3FFBB2F6" w14:textId="0EFD58A4" w:rsidR="00384A5C" w:rsidRDefault="00384A5C" w:rsidP="00384A5C">
      <w:pPr>
        <w:rPr>
          <w:rFonts w:ascii="Arial" w:hAnsi="Arial" w:cs="Arial"/>
          <w:sz w:val="24"/>
          <w:szCs w:val="24"/>
        </w:rPr>
      </w:pPr>
      <w:r>
        <w:rPr>
          <w:rFonts w:ascii="Arial" w:hAnsi="Arial" w:cs="Arial"/>
          <w:sz w:val="24"/>
          <w:szCs w:val="24"/>
        </w:rPr>
        <w:t>Jednom godišnje za glomazni otpad u količini od 2 m</w:t>
      </w:r>
      <w:r w:rsidR="0076092F">
        <w:rPr>
          <w:rFonts w:ascii="Arial" w:hAnsi="Arial" w:cs="Arial"/>
          <w:sz w:val="24"/>
          <w:szCs w:val="24"/>
        </w:rPr>
        <w:t>³</w:t>
      </w:r>
      <w:r>
        <w:rPr>
          <w:rFonts w:ascii="Arial" w:hAnsi="Arial" w:cs="Arial"/>
          <w:sz w:val="24"/>
          <w:szCs w:val="24"/>
        </w:rPr>
        <w:t>.</w:t>
      </w:r>
    </w:p>
    <w:p w14:paraId="41D0D06D" w14:textId="3F1E5865" w:rsidR="00000ED4" w:rsidRPr="001E1807" w:rsidRDefault="00BA0283" w:rsidP="001E1807">
      <w:pPr>
        <w:jc w:val="both"/>
        <w:rPr>
          <w:rFonts w:ascii="Arial" w:hAnsi="Arial" w:cs="Arial"/>
          <w:b/>
          <w:bCs/>
          <w:sz w:val="24"/>
          <w:szCs w:val="24"/>
        </w:rPr>
      </w:pPr>
      <w:r w:rsidRPr="001E1807">
        <w:rPr>
          <w:rFonts w:ascii="Arial" w:hAnsi="Arial" w:cs="Arial"/>
          <w:b/>
          <w:bCs/>
          <w:sz w:val="24"/>
          <w:szCs w:val="24"/>
        </w:rPr>
        <w:t>OBRAČUN CIJENE JAVNE USLUGE</w:t>
      </w:r>
    </w:p>
    <w:p w14:paraId="49DE439C" w14:textId="77777777" w:rsidR="00BA0283" w:rsidRPr="00BA0283" w:rsidRDefault="00BA0283" w:rsidP="001E1807">
      <w:pPr>
        <w:jc w:val="both"/>
        <w:rPr>
          <w:rFonts w:ascii="Arial" w:hAnsi="Arial" w:cs="Arial"/>
          <w:sz w:val="24"/>
          <w:szCs w:val="24"/>
        </w:rPr>
      </w:pPr>
      <w:r w:rsidRPr="00BA0283">
        <w:rPr>
          <w:rFonts w:ascii="Arial" w:hAnsi="Arial" w:cs="Arial"/>
          <w:sz w:val="24"/>
          <w:szCs w:val="24"/>
        </w:rPr>
        <w:t>Cijena javne usluge plaća se radi pokrića troškova sukladno Zakonu o održivom gospodarenju otpadom i Uredbi o komunalnom otpadu.</w:t>
      </w:r>
    </w:p>
    <w:p w14:paraId="6ED48E5D" w14:textId="77777777" w:rsidR="00BA0283" w:rsidRPr="00BA0283" w:rsidRDefault="00BA0283" w:rsidP="001E1807">
      <w:pPr>
        <w:jc w:val="both"/>
        <w:rPr>
          <w:rFonts w:ascii="Arial" w:hAnsi="Arial" w:cs="Arial"/>
          <w:sz w:val="24"/>
          <w:szCs w:val="24"/>
        </w:rPr>
      </w:pPr>
      <w:r w:rsidRPr="00BA0283">
        <w:rPr>
          <w:rFonts w:ascii="Arial" w:hAnsi="Arial" w:cs="Arial"/>
          <w:sz w:val="24"/>
          <w:szCs w:val="24"/>
        </w:rPr>
        <w:tab/>
        <w:t>Cijena javne usluge određuje se sukladno volumenu spremnika za miješani komunalni otpad i broja pražnjenja spremnika.</w:t>
      </w:r>
    </w:p>
    <w:p w14:paraId="6B6665B1" w14:textId="77777777" w:rsidR="00BA0283" w:rsidRPr="00BA0283" w:rsidRDefault="00BA0283" w:rsidP="001E1807">
      <w:pPr>
        <w:jc w:val="both"/>
        <w:rPr>
          <w:rFonts w:ascii="Arial" w:hAnsi="Arial" w:cs="Arial"/>
          <w:sz w:val="24"/>
          <w:szCs w:val="24"/>
        </w:rPr>
      </w:pPr>
      <w:r w:rsidRPr="00BA0283">
        <w:rPr>
          <w:rFonts w:ascii="Arial" w:hAnsi="Arial" w:cs="Arial"/>
          <w:sz w:val="24"/>
          <w:szCs w:val="24"/>
        </w:rPr>
        <w:lastRenderedPageBreak/>
        <w:tab/>
        <w:t>Strukturu cijene javne usluge čini cijena, cijena obvezne minimalne javne usluge, cijena javne usluge za količinu predanog miješanog komunalnog otpada i cijena ugovorne kazne.</w:t>
      </w:r>
    </w:p>
    <w:p w14:paraId="52582452" w14:textId="77777777" w:rsidR="00BA0283" w:rsidRPr="00BA0283" w:rsidRDefault="00BA0283" w:rsidP="001E1807">
      <w:pPr>
        <w:jc w:val="both"/>
        <w:rPr>
          <w:rFonts w:ascii="Arial" w:hAnsi="Arial" w:cs="Arial"/>
          <w:sz w:val="24"/>
          <w:szCs w:val="24"/>
        </w:rPr>
      </w:pPr>
      <w:r w:rsidRPr="00BA0283">
        <w:rPr>
          <w:rFonts w:ascii="Arial" w:hAnsi="Arial" w:cs="Arial"/>
          <w:sz w:val="24"/>
          <w:szCs w:val="24"/>
        </w:rPr>
        <w:tab/>
        <w:t>Formula za izračun cijene javne usluge:</w:t>
      </w:r>
    </w:p>
    <w:p w14:paraId="457780BD" w14:textId="5E95CCBB" w:rsidR="00BA0283" w:rsidRDefault="00BA0283" w:rsidP="001E1807">
      <w:pPr>
        <w:jc w:val="both"/>
        <w:rPr>
          <w:rFonts w:ascii="Arial" w:hAnsi="Arial" w:cs="Arial"/>
          <w:i/>
          <w:sz w:val="24"/>
          <w:szCs w:val="24"/>
        </w:rPr>
      </w:pPr>
      <w:r w:rsidRPr="00BA0283">
        <w:rPr>
          <w:rFonts w:ascii="Arial" w:hAnsi="Arial" w:cs="Arial"/>
          <w:i/>
          <w:sz w:val="24"/>
          <w:szCs w:val="24"/>
        </w:rPr>
        <w:t xml:space="preserve">C - cijena javne usluge za količinu predanog miješanog komunalnog otpada izražena </w:t>
      </w:r>
      <w:r>
        <w:rPr>
          <w:rFonts w:ascii="Arial" w:hAnsi="Arial" w:cs="Arial"/>
          <w:i/>
          <w:sz w:val="24"/>
          <w:szCs w:val="24"/>
        </w:rPr>
        <w:t>u kunama</w:t>
      </w:r>
    </w:p>
    <w:p w14:paraId="4D9712F9" w14:textId="28E83F16" w:rsidR="00BA0283" w:rsidRDefault="00BA0283" w:rsidP="001E1807">
      <w:pPr>
        <w:jc w:val="both"/>
        <w:rPr>
          <w:rFonts w:ascii="Arial" w:hAnsi="Arial" w:cs="Arial"/>
          <w:i/>
          <w:sz w:val="24"/>
          <w:szCs w:val="24"/>
        </w:rPr>
      </w:pPr>
      <w:r>
        <w:rPr>
          <w:rFonts w:ascii="Arial" w:hAnsi="Arial" w:cs="Arial"/>
          <w:i/>
          <w:sz w:val="24"/>
          <w:szCs w:val="24"/>
        </w:rPr>
        <w:t>JCV- jedinična cijena pražnjenja volumena spremnika miješanog komunalnog otpada izražena u kunama sukladno cjen</w:t>
      </w:r>
      <w:r w:rsidR="001E1807">
        <w:rPr>
          <w:rFonts w:ascii="Arial" w:hAnsi="Arial" w:cs="Arial"/>
          <w:i/>
          <w:sz w:val="24"/>
          <w:szCs w:val="24"/>
        </w:rPr>
        <w:t>iku</w:t>
      </w:r>
    </w:p>
    <w:p w14:paraId="6F48DE7F" w14:textId="22F7F9FF" w:rsidR="00BA0283" w:rsidRDefault="00BA0283" w:rsidP="001E1807">
      <w:pPr>
        <w:jc w:val="both"/>
        <w:rPr>
          <w:rFonts w:ascii="Arial" w:hAnsi="Arial" w:cs="Arial"/>
          <w:i/>
          <w:sz w:val="24"/>
          <w:szCs w:val="24"/>
        </w:rPr>
      </w:pPr>
      <w:r>
        <w:rPr>
          <w:rFonts w:ascii="Arial" w:hAnsi="Arial" w:cs="Arial"/>
          <w:i/>
          <w:sz w:val="24"/>
          <w:szCs w:val="24"/>
        </w:rPr>
        <w:t>BP- broj pražnjenja spremnika miješanog komunalnog otpada u obra</w:t>
      </w:r>
      <w:r w:rsidR="001E1807">
        <w:rPr>
          <w:rFonts w:ascii="Arial" w:hAnsi="Arial" w:cs="Arial"/>
          <w:i/>
          <w:sz w:val="24"/>
          <w:szCs w:val="24"/>
        </w:rPr>
        <w:t>č</w:t>
      </w:r>
      <w:r>
        <w:rPr>
          <w:rFonts w:ascii="Arial" w:hAnsi="Arial" w:cs="Arial"/>
          <w:i/>
          <w:sz w:val="24"/>
          <w:szCs w:val="24"/>
        </w:rPr>
        <w:t>unskom razdoblju sukladno podacima u evidenciji</w:t>
      </w:r>
    </w:p>
    <w:p w14:paraId="748032BF" w14:textId="549C4663" w:rsidR="00BA0283" w:rsidRDefault="00BA0283" w:rsidP="001E1807">
      <w:pPr>
        <w:jc w:val="both"/>
        <w:rPr>
          <w:rFonts w:ascii="Arial" w:hAnsi="Arial" w:cs="Arial"/>
          <w:i/>
          <w:sz w:val="24"/>
          <w:szCs w:val="24"/>
        </w:rPr>
      </w:pPr>
      <w:r>
        <w:rPr>
          <w:rFonts w:ascii="Arial" w:hAnsi="Arial" w:cs="Arial"/>
          <w:i/>
          <w:sz w:val="24"/>
          <w:szCs w:val="24"/>
        </w:rPr>
        <w:t>U- udio korisnika usluge u korištenju spremnika</w:t>
      </w:r>
    </w:p>
    <w:p w14:paraId="11E93D8E" w14:textId="757D7504" w:rsidR="00BA0283" w:rsidRPr="001E1807" w:rsidRDefault="00BA0283" w:rsidP="001E1807">
      <w:pPr>
        <w:jc w:val="both"/>
        <w:rPr>
          <w:rFonts w:ascii="Arial" w:hAnsi="Arial" w:cs="Arial"/>
          <w:iCs/>
          <w:sz w:val="24"/>
          <w:szCs w:val="24"/>
        </w:rPr>
      </w:pPr>
      <w:r w:rsidRPr="001E1807">
        <w:rPr>
          <w:rFonts w:ascii="Arial" w:hAnsi="Arial" w:cs="Arial"/>
          <w:iCs/>
          <w:sz w:val="24"/>
          <w:szCs w:val="24"/>
        </w:rPr>
        <w:t>Ukupnu cijenu javne usluge čini zbroj cijene obavezne minimalne javne usluge, ci</w:t>
      </w:r>
      <w:r w:rsidR="001E1807" w:rsidRPr="001E1807">
        <w:rPr>
          <w:rFonts w:ascii="Arial" w:hAnsi="Arial" w:cs="Arial"/>
          <w:iCs/>
          <w:sz w:val="24"/>
          <w:szCs w:val="24"/>
        </w:rPr>
        <w:t>jene javne usluge za</w:t>
      </w:r>
      <w:r w:rsidR="001E1807">
        <w:rPr>
          <w:rFonts w:ascii="Arial" w:hAnsi="Arial" w:cs="Arial"/>
          <w:iCs/>
          <w:sz w:val="24"/>
          <w:szCs w:val="24"/>
        </w:rPr>
        <w:t xml:space="preserve"> </w:t>
      </w:r>
      <w:r w:rsidR="001E1807" w:rsidRPr="001E1807">
        <w:rPr>
          <w:rFonts w:ascii="Arial" w:hAnsi="Arial" w:cs="Arial"/>
          <w:iCs/>
          <w:sz w:val="24"/>
          <w:szCs w:val="24"/>
        </w:rPr>
        <w:t>količinu predanog miješanog komunalnog otpada i cijena ugovorne kazne te se izračunava po izrazu:</w:t>
      </w:r>
    </w:p>
    <w:p w14:paraId="2858D855" w14:textId="73700101" w:rsidR="001E1807" w:rsidRPr="001E1807" w:rsidRDefault="001E1807" w:rsidP="001E1807">
      <w:pPr>
        <w:jc w:val="both"/>
        <w:rPr>
          <w:rFonts w:ascii="Arial" w:hAnsi="Arial" w:cs="Arial"/>
          <w:iCs/>
          <w:sz w:val="24"/>
          <w:szCs w:val="24"/>
        </w:rPr>
      </w:pPr>
    </w:p>
    <w:p w14:paraId="2AE3722F" w14:textId="54C92555" w:rsidR="001E1807" w:rsidRPr="001E1807" w:rsidRDefault="001E1807" w:rsidP="001E1807">
      <w:pPr>
        <w:jc w:val="center"/>
        <w:rPr>
          <w:rFonts w:ascii="Arial" w:hAnsi="Arial" w:cs="Arial"/>
          <w:iCs/>
          <w:sz w:val="24"/>
          <w:szCs w:val="24"/>
        </w:rPr>
      </w:pPr>
      <w:r w:rsidRPr="001E1807">
        <w:rPr>
          <w:rFonts w:ascii="Arial" w:hAnsi="Arial" w:cs="Arial"/>
          <w:iCs/>
          <w:sz w:val="24"/>
          <w:szCs w:val="24"/>
        </w:rPr>
        <w:t>Ukupna cijena javne usluge</w:t>
      </w:r>
      <w:r w:rsidR="003A476E">
        <w:rPr>
          <w:rFonts w:ascii="Arial" w:hAnsi="Arial" w:cs="Arial"/>
          <w:iCs/>
          <w:sz w:val="24"/>
          <w:szCs w:val="24"/>
        </w:rPr>
        <w:t xml:space="preserve"> =</w:t>
      </w:r>
      <w:r w:rsidRPr="001E1807">
        <w:rPr>
          <w:rFonts w:ascii="Arial" w:hAnsi="Arial" w:cs="Arial"/>
          <w:iCs/>
          <w:sz w:val="24"/>
          <w:szCs w:val="24"/>
        </w:rPr>
        <w:t>MJU+ (JCV</w:t>
      </w:r>
      <w:r w:rsidR="003A476E">
        <w:rPr>
          <w:rFonts w:ascii="Arial" w:hAnsi="Arial" w:cs="Arial"/>
          <w:iCs/>
          <w:sz w:val="24"/>
          <w:szCs w:val="24"/>
        </w:rPr>
        <w:t xml:space="preserve"> x </w:t>
      </w:r>
      <w:r w:rsidRPr="001E1807">
        <w:rPr>
          <w:rFonts w:ascii="Arial" w:hAnsi="Arial" w:cs="Arial"/>
          <w:iCs/>
          <w:sz w:val="24"/>
          <w:szCs w:val="24"/>
        </w:rPr>
        <w:t>BP</w:t>
      </w:r>
      <w:r w:rsidR="003A476E">
        <w:rPr>
          <w:rFonts w:ascii="Arial" w:hAnsi="Arial" w:cs="Arial"/>
          <w:iCs/>
          <w:sz w:val="24"/>
          <w:szCs w:val="24"/>
        </w:rPr>
        <w:t xml:space="preserve"> x </w:t>
      </w:r>
      <w:r w:rsidRPr="001E1807">
        <w:rPr>
          <w:rFonts w:ascii="Arial" w:hAnsi="Arial" w:cs="Arial"/>
          <w:iCs/>
          <w:sz w:val="24"/>
          <w:szCs w:val="24"/>
        </w:rPr>
        <w:t>U)</w:t>
      </w:r>
    </w:p>
    <w:p w14:paraId="6ED9F037" w14:textId="77777777" w:rsidR="001E1807" w:rsidRPr="00BA0283" w:rsidRDefault="001E1807" w:rsidP="001E1807">
      <w:pPr>
        <w:jc w:val="both"/>
        <w:rPr>
          <w:rFonts w:ascii="Arial" w:hAnsi="Arial" w:cs="Arial"/>
          <w:i/>
          <w:sz w:val="24"/>
          <w:szCs w:val="24"/>
        </w:rPr>
      </w:pPr>
    </w:p>
    <w:p w14:paraId="1492AE00" w14:textId="77777777" w:rsidR="00BA0283" w:rsidRPr="00BA0283" w:rsidRDefault="00BA0283" w:rsidP="001E1807">
      <w:pPr>
        <w:jc w:val="both"/>
        <w:rPr>
          <w:rFonts w:ascii="Arial" w:hAnsi="Arial" w:cs="Arial"/>
          <w:sz w:val="24"/>
          <w:szCs w:val="24"/>
        </w:rPr>
      </w:pPr>
      <w:r w:rsidRPr="00BA0283">
        <w:rPr>
          <w:rFonts w:ascii="Arial" w:hAnsi="Arial" w:cs="Arial"/>
          <w:sz w:val="24"/>
          <w:szCs w:val="24"/>
        </w:rPr>
        <w:tab/>
        <w:t>Korisnik usluge dužan je platiti davatelju javne usluge iznos cijene javne usluge za obračunsko mjesto i obračunsko razdoblje.</w:t>
      </w:r>
    </w:p>
    <w:p w14:paraId="5A29F996" w14:textId="77777777" w:rsidR="00BA0283" w:rsidRPr="00BA0283" w:rsidRDefault="00BA0283" w:rsidP="001E1807">
      <w:pPr>
        <w:jc w:val="both"/>
        <w:rPr>
          <w:rFonts w:ascii="Arial" w:hAnsi="Arial" w:cs="Arial"/>
          <w:sz w:val="24"/>
          <w:szCs w:val="24"/>
        </w:rPr>
      </w:pPr>
      <w:r w:rsidRPr="00BA0283">
        <w:rPr>
          <w:rFonts w:ascii="Arial" w:hAnsi="Arial" w:cs="Arial"/>
          <w:sz w:val="24"/>
          <w:szCs w:val="24"/>
        </w:rPr>
        <w:tab/>
        <w:t>Iznimno od plaćanja cijene javne usluge oslobođene su nekretnine koje se trajno ne koriste.</w:t>
      </w:r>
    </w:p>
    <w:p w14:paraId="1758C331" w14:textId="77777777" w:rsidR="00BA0283" w:rsidRPr="00BA0283" w:rsidRDefault="00BA0283" w:rsidP="001E1807">
      <w:pPr>
        <w:jc w:val="both"/>
        <w:rPr>
          <w:rFonts w:ascii="Arial" w:hAnsi="Arial" w:cs="Arial"/>
          <w:sz w:val="24"/>
          <w:szCs w:val="24"/>
        </w:rPr>
      </w:pPr>
      <w:r w:rsidRPr="00BA0283">
        <w:rPr>
          <w:rFonts w:ascii="Arial" w:hAnsi="Arial" w:cs="Arial"/>
          <w:sz w:val="24"/>
          <w:szCs w:val="24"/>
        </w:rPr>
        <w:tab/>
        <w:t>Kad jedan korisnik usluge samostalno koristi spremnik, udio korisnika usluge u korištenju spremnika je jedan (U = 1).</w:t>
      </w:r>
    </w:p>
    <w:p w14:paraId="4D0D4D2A" w14:textId="61A6BC8D" w:rsidR="00000ED4" w:rsidRDefault="00BA0283" w:rsidP="00D30238">
      <w:pPr>
        <w:jc w:val="both"/>
        <w:rPr>
          <w:rFonts w:ascii="Arial" w:hAnsi="Arial" w:cs="Arial"/>
          <w:sz w:val="24"/>
          <w:szCs w:val="24"/>
        </w:rPr>
      </w:pPr>
      <w:r w:rsidRPr="00BA0283">
        <w:rPr>
          <w:rFonts w:ascii="Arial" w:hAnsi="Arial" w:cs="Arial"/>
          <w:sz w:val="24"/>
          <w:szCs w:val="24"/>
        </w:rPr>
        <w:tab/>
        <w:t>Kad više korisnika usluge zajednički koriste spremnik, zbroj udjela svih korisnika, određenih međusobnim sporazumom ili prijedlogom davatelja usluge, mora iznositi jedan. Kad više korisnika usluge koristi zajednički spremnik, nastalu obvezu plaćanja ugovorne kazne u slučaju kad se ne utvrdi odgovornost pojedinog korisnika, snose svi korisnici usluge koji koriste zajednički spremnik sukladno udjelima u korištenju spremnika. Za korištenje većih spremnika (od 1.100 l do 7.000 l) pravne osobe mogu ugovoriti cijenu po odvozu, a u cijenu su uključeni svi troškovi</w:t>
      </w:r>
      <w:r w:rsidR="00D30238">
        <w:rPr>
          <w:rFonts w:ascii="Arial" w:hAnsi="Arial" w:cs="Arial"/>
          <w:sz w:val="24"/>
          <w:szCs w:val="24"/>
        </w:rPr>
        <w:t>.</w:t>
      </w:r>
    </w:p>
    <w:p w14:paraId="4E15D02B" w14:textId="35DFDC6F" w:rsidR="00C40C14" w:rsidRDefault="00C40C14" w:rsidP="00A36C7B">
      <w:pPr>
        <w:jc w:val="both"/>
        <w:rPr>
          <w:rFonts w:ascii="Arial" w:hAnsi="Arial" w:cs="Arial"/>
          <w:sz w:val="24"/>
          <w:szCs w:val="24"/>
        </w:rPr>
      </w:pPr>
    </w:p>
    <w:p w14:paraId="627AB42B" w14:textId="2290932C" w:rsidR="00E97FC9" w:rsidRDefault="000B7FB5" w:rsidP="00C40C14">
      <w:pPr>
        <w:rPr>
          <w:rFonts w:ascii="Arial" w:hAnsi="Arial" w:cs="Arial"/>
          <w:sz w:val="24"/>
          <w:szCs w:val="24"/>
        </w:rPr>
      </w:pPr>
      <w:r>
        <w:rPr>
          <w:rFonts w:ascii="Arial" w:hAnsi="Arial" w:cs="Arial"/>
          <w:sz w:val="24"/>
          <w:szCs w:val="24"/>
        </w:rPr>
        <w:t>Direktor,</w:t>
      </w:r>
    </w:p>
    <w:p w14:paraId="5FA0BCB2" w14:textId="4BF77DEA" w:rsidR="000B7FB5" w:rsidRDefault="000B7FB5" w:rsidP="00C40C14">
      <w:pPr>
        <w:rPr>
          <w:rFonts w:ascii="Arial" w:hAnsi="Arial" w:cs="Arial"/>
          <w:sz w:val="24"/>
          <w:szCs w:val="24"/>
        </w:rPr>
      </w:pPr>
      <w:r>
        <w:rPr>
          <w:rFonts w:ascii="Arial" w:hAnsi="Arial" w:cs="Arial"/>
          <w:sz w:val="24"/>
          <w:szCs w:val="24"/>
        </w:rPr>
        <w:t>Stjepan Ligutić, ing.stroj</w:t>
      </w:r>
    </w:p>
    <w:p w14:paraId="70A66753" w14:textId="3AD6DBE1" w:rsidR="00F44CCD" w:rsidRDefault="00F44CCD" w:rsidP="00C40C14">
      <w:pPr>
        <w:rPr>
          <w:rFonts w:ascii="Arial" w:hAnsi="Arial" w:cs="Arial"/>
          <w:sz w:val="24"/>
          <w:szCs w:val="24"/>
        </w:rPr>
      </w:pPr>
    </w:p>
    <w:p w14:paraId="5FBE22F9" w14:textId="3AEC9112" w:rsidR="00F44CCD" w:rsidRPr="00C40C14" w:rsidRDefault="00F44CCD" w:rsidP="00C40C14">
      <w:pPr>
        <w:rPr>
          <w:rFonts w:ascii="Arial" w:hAnsi="Arial" w:cs="Arial"/>
          <w:sz w:val="24"/>
          <w:szCs w:val="24"/>
        </w:rPr>
      </w:pPr>
      <w:r>
        <w:rPr>
          <w:rFonts w:ascii="Arial" w:hAnsi="Arial" w:cs="Arial"/>
          <w:sz w:val="24"/>
          <w:szCs w:val="24"/>
        </w:rPr>
        <w:t>Sali, 31.12.2020.</w:t>
      </w:r>
    </w:p>
    <w:sectPr w:rsidR="00F44CCD" w:rsidRPr="00C40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0188A"/>
    <w:multiLevelType w:val="hybridMultilevel"/>
    <w:tmpl w:val="1EBA4C5E"/>
    <w:lvl w:ilvl="0" w:tplc="6A4E9D7C">
      <w:start w:val="2"/>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35A2185"/>
    <w:multiLevelType w:val="hybridMultilevel"/>
    <w:tmpl w:val="1ED078C4"/>
    <w:lvl w:ilvl="0" w:tplc="4C2E0BCE">
      <w:start w:val="1"/>
      <w:numFmt w:val="decimal"/>
      <w:lvlText w:val="%1."/>
      <w:lvlJc w:val="left"/>
      <w:pPr>
        <w:ind w:left="720" w:hanging="360"/>
      </w:pPr>
      <w:rPr>
        <w:rFonts w:asciiTheme="minorHAnsi" w:hAnsiTheme="minorHAnsi" w:cstheme="minorBidi" w:hint="default"/>
        <w:color w:val="000000"/>
        <w:sz w:val="27"/>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7990397"/>
    <w:multiLevelType w:val="hybridMultilevel"/>
    <w:tmpl w:val="C354F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B8"/>
    <w:rsid w:val="00000ED4"/>
    <w:rsid w:val="00024563"/>
    <w:rsid w:val="00035B95"/>
    <w:rsid w:val="000B7FB5"/>
    <w:rsid w:val="001027EF"/>
    <w:rsid w:val="00125D3E"/>
    <w:rsid w:val="00143F06"/>
    <w:rsid w:val="001B7B3C"/>
    <w:rsid w:val="001C211B"/>
    <w:rsid w:val="001E1807"/>
    <w:rsid w:val="001E251B"/>
    <w:rsid w:val="002E38DE"/>
    <w:rsid w:val="00384A5C"/>
    <w:rsid w:val="003A476E"/>
    <w:rsid w:val="00453C13"/>
    <w:rsid w:val="00641A06"/>
    <w:rsid w:val="00677862"/>
    <w:rsid w:val="0076092F"/>
    <w:rsid w:val="0083665A"/>
    <w:rsid w:val="008902B8"/>
    <w:rsid w:val="00946F93"/>
    <w:rsid w:val="00970255"/>
    <w:rsid w:val="009832CE"/>
    <w:rsid w:val="00A36C7B"/>
    <w:rsid w:val="00B1327F"/>
    <w:rsid w:val="00BA0283"/>
    <w:rsid w:val="00BB7261"/>
    <w:rsid w:val="00C40C14"/>
    <w:rsid w:val="00C82FFA"/>
    <w:rsid w:val="00D30238"/>
    <w:rsid w:val="00D94780"/>
    <w:rsid w:val="00DB5C21"/>
    <w:rsid w:val="00DD616F"/>
    <w:rsid w:val="00E97FC9"/>
    <w:rsid w:val="00F44CCD"/>
    <w:rsid w:val="00F96216"/>
    <w:rsid w:val="00FA2C29"/>
    <w:rsid w:val="00FB4F35"/>
    <w:rsid w:val="00FC1491"/>
    <w:rsid w:val="00FF77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E8E4"/>
  <w15:chartTrackingRefBased/>
  <w15:docId w15:val="{1DA2D7B6-528A-4D00-8830-652B27C7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97FC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97FC9"/>
    <w:rPr>
      <w:rFonts w:ascii="Segoe UI" w:hAnsi="Segoe UI" w:cs="Segoe UI"/>
      <w:sz w:val="18"/>
      <w:szCs w:val="18"/>
    </w:rPr>
  </w:style>
  <w:style w:type="character" w:styleId="Hiperveza">
    <w:name w:val="Hyperlink"/>
    <w:basedOn w:val="Zadanifontodlomka"/>
    <w:uiPriority w:val="99"/>
    <w:unhideWhenUsed/>
    <w:rsid w:val="00E97FC9"/>
    <w:rPr>
      <w:color w:val="0563C1" w:themeColor="hyperlink"/>
      <w:u w:val="single"/>
    </w:rPr>
  </w:style>
  <w:style w:type="character" w:styleId="Nerijeenospominjanje">
    <w:name w:val="Unresolved Mention"/>
    <w:basedOn w:val="Zadanifontodlomka"/>
    <w:uiPriority w:val="99"/>
    <w:semiHidden/>
    <w:unhideWhenUsed/>
    <w:rsid w:val="00E97FC9"/>
    <w:rPr>
      <w:color w:val="605E5C"/>
      <w:shd w:val="clear" w:color="auto" w:fill="E1DFDD"/>
    </w:rPr>
  </w:style>
  <w:style w:type="character" w:styleId="Naglaeno">
    <w:name w:val="Strong"/>
    <w:basedOn w:val="Zadanifontodlomka"/>
    <w:uiPriority w:val="22"/>
    <w:qFormat/>
    <w:rsid w:val="00FA2C29"/>
    <w:rPr>
      <w:b/>
      <w:bCs/>
    </w:rPr>
  </w:style>
  <w:style w:type="paragraph" w:styleId="Odlomakpopisa">
    <w:name w:val="List Paragraph"/>
    <w:basedOn w:val="Normal"/>
    <w:uiPriority w:val="34"/>
    <w:qFormat/>
    <w:rsid w:val="00FA2C29"/>
    <w:pPr>
      <w:ind w:left="720"/>
      <w:contextualSpacing/>
    </w:pPr>
  </w:style>
  <w:style w:type="table" w:styleId="Reetkatablice">
    <w:name w:val="Table Grid"/>
    <w:basedOn w:val="Obinatablica"/>
    <w:uiPriority w:val="39"/>
    <w:rsid w:val="00A3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2929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stjepan ligutić</dc:creator>
  <cp:keywords/>
  <dc:description/>
  <cp:lastModifiedBy>stjepan ligutić</cp:lastModifiedBy>
  <cp:revision>3</cp:revision>
  <cp:lastPrinted>2021-04-07T11:42:00Z</cp:lastPrinted>
  <dcterms:created xsi:type="dcterms:W3CDTF">2021-04-07T11:56:00Z</dcterms:created>
  <dcterms:modified xsi:type="dcterms:W3CDTF">2021-04-15T06:11:00Z</dcterms:modified>
</cp:coreProperties>
</file>