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F4613" w14:textId="77777777" w:rsidR="00D75E1C" w:rsidRPr="00B00802" w:rsidRDefault="00D75E1C" w:rsidP="00D75E1C">
      <w:pPr>
        <w:spacing w:after="0"/>
        <w:rPr>
          <w:rFonts w:cstheme="minorHAnsi"/>
          <w:b/>
        </w:rPr>
      </w:pPr>
      <w:r w:rsidRPr="00B00802">
        <w:rPr>
          <w:rFonts w:cstheme="minorHAnsi"/>
          <w:b/>
        </w:rPr>
        <w:t>Naziv obveznika:</w:t>
      </w:r>
      <w:r w:rsidRPr="00B00802">
        <w:rPr>
          <w:rFonts w:cstheme="minorHAnsi"/>
          <w:b/>
        </w:rPr>
        <w:tab/>
      </w:r>
      <w:r w:rsidRPr="00B00802">
        <w:rPr>
          <w:rFonts w:cstheme="minorHAnsi"/>
          <w:b/>
        </w:rPr>
        <w:tab/>
      </w:r>
      <w:r w:rsidRPr="00B00802">
        <w:rPr>
          <w:rFonts w:cstheme="minorHAnsi"/>
          <w:b/>
        </w:rPr>
        <w:tab/>
      </w:r>
      <w:r w:rsidRPr="00B00802">
        <w:rPr>
          <w:rFonts w:cstheme="minorHAnsi"/>
          <w:b/>
        </w:rPr>
        <w:tab/>
        <w:t>HRVATSKA KNJIŽNICA I ČITAONICA SALI</w:t>
      </w:r>
    </w:p>
    <w:p w14:paraId="527A3D25" w14:textId="77777777" w:rsidR="001550B9" w:rsidRPr="00B00802" w:rsidRDefault="001550B9" w:rsidP="00D75E1C">
      <w:pPr>
        <w:spacing w:after="0"/>
        <w:rPr>
          <w:rFonts w:cstheme="minorHAnsi"/>
          <w:b/>
        </w:rPr>
      </w:pPr>
    </w:p>
    <w:p w14:paraId="7A687EC1" w14:textId="77777777" w:rsidR="00D75E1C" w:rsidRPr="00B00802" w:rsidRDefault="00D75E1C" w:rsidP="00D75E1C">
      <w:pPr>
        <w:spacing w:after="0"/>
        <w:rPr>
          <w:rFonts w:cstheme="minorHAnsi"/>
          <w:b/>
        </w:rPr>
      </w:pPr>
      <w:r w:rsidRPr="00B00802">
        <w:rPr>
          <w:rFonts w:cstheme="minorHAnsi"/>
          <w:b/>
        </w:rPr>
        <w:t>Brij RKP-a:</w:t>
      </w:r>
      <w:r w:rsidRPr="00B00802">
        <w:rPr>
          <w:rFonts w:cstheme="minorHAnsi"/>
          <w:b/>
        </w:rPr>
        <w:tab/>
        <w:t>35239</w:t>
      </w:r>
      <w:r w:rsidRPr="00B00802">
        <w:rPr>
          <w:rFonts w:cstheme="minorHAnsi"/>
          <w:b/>
        </w:rPr>
        <w:tab/>
      </w:r>
      <w:r w:rsidRPr="00B00802">
        <w:rPr>
          <w:rFonts w:cstheme="minorHAnsi"/>
          <w:b/>
        </w:rPr>
        <w:tab/>
      </w:r>
      <w:r w:rsidRPr="00B00802">
        <w:rPr>
          <w:rFonts w:cstheme="minorHAnsi"/>
          <w:b/>
        </w:rPr>
        <w:tab/>
      </w:r>
      <w:r w:rsidRPr="00B00802">
        <w:rPr>
          <w:rFonts w:cstheme="minorHAnsi"/>
          <w:b/>
        </w:rPr>
        <w:tab/>
        <w:t>Razina:</w:t>
      </w:r>
      <w:r w:rsidRPr="00B00802">
        <w:rPr>
          <w:rFonts w:cstheme="minorHAnsi"/>
          <w:b/>
        </w:rPr>
        <w:tab/>
      </w:r>
      <w:r w:rsidRPr="00B00802">
        <w:rPr>
          <w:rFonts w:cstheme="minorHAnsi"/>
          <w:b/>
        </w:rPr>
        <w:tab/>
        <w:t>21 Proračunski korisnik JLPRS</w:t>
      </w:r>
    </w:p>
    <w:p w14:paraId="15D3AB20" w14:textId="77777777" w:rsidR="00D75E1C" w:rsidRPr="00B00802" w:rsidRDefault="00D75E1C" w:rsidP="00D75E1C">
      <w:pPr>
        <w:spacing w:after="0"/>
        <w:rPr>
          <w:rFonts w:cstheme="minorHAnsi"/>
          <w:b/>
        </w:rPr>
      </w:pPr>
      <w:r w:rsidRPr="00B00802">
        <w:rPr>
          <w:rFonts w:cstheme="minorHAnsi"/>
          <w:b/>
        </w:rPr>
        <w:t>Matični broja:</w:t>
      </w:r>
      <w:r w:rsidRPr="00B00802">
        <w:rPr>
          <w:rFonts w:cstheme="minorHAnsi"/>
          <w:b/>
        </w:rPr>
        <w:tab/>
        <w:t>01583387</w:t>
      </w:r>
      <w:r w:rsidRPr="00B00802">
        <w:rPr>
          <w:rFonts w:cstheme="minorHAnsi"/>
          <w:b/>
        </w:rPr>
        <w:tab/>
      </w:r>
      <w:r w:rsidRPr="00B00802">
        <w:rPr>
          <w:rFonts w:cstheme="minorHAnsi"/>
          <w:b/>
        </w:rPr>
        <w:tab/>
      </w:r>
      <w:r w:rsidRPr="00B00802">
        <w:rPr>
          <w:rFonts w:cstheme="minorHAnsi"/>
          <w:b/>
        </w:rPr>
        <w:tab/>
        <w:t>Razdjel:</w:t>
      </w:r>
      <w:r w:rsidRPr="00B00802">
        <w:rPr>
          <w:rFonts w:cstheme="minorHAnsi"/>
          <w:b/>
        </w:rPr>
        <w:tab/>
        <w:t>000 Nema razdjela</w:t>
      </w:r>
    </w:p>
    <w:p w14:paraId="7458AB96" w14:textId="77777777" w:rsidR="00D75E1C" w:rsidRPr="00B00802" w:rsidRDefault="00D75E1C" w:rsidP="00D75E1C">
      <w:pPr>
        <w:spacing w:after="0"/>
        <w:rPr>
          <w:rFonts w:cstheme="minorHAnsi"/>
          <w:b/>
        </w:rPr>
      </w:pPr>
      <w:r w:rsidRPr="00B00802">
        <w:rPr>
          <w:rFonts w:cstheme="minorHAnsi"/>
          <w:b/>
        </w:rPr>
        <w:t>OIB:</w:t>
      </w:r>
      <w:r w:rsidRPr="00B00802">
        <w:rPr>
          <w:rFonts w:cstheme="minorHAnsi"/>
          <w:b/>
        </w:rPr>
        <w:tab/>
      </w:r>
      <w:r w:rsidRPr="00B00802">
        <w:rPr>
          <w:rFonts w:cstheme="minorHAnsi"/>
          <w:b/>
        </w:rPr>
        <w:tab/>
        <w:t>68404358413</w:t>
      </w:r>
      <w:r w:rsidRPr="00B00802">
        <w:rPr>
          <w:rFonts w:cstheme="minorHAnsi"/>
          <w:b/>
        </w:rPr>
        <w:tab/>
      </w:r>
      <w:r w:rsidRPr="00B00802">
        <w:rPr>
          <w:rFonts w:cstheme="minorHAnsi"/>
          <w:b/>
        </w:rPr>
        <w:tab/>
      </w:r>
      <w:r w:rsidRPr="00B00802">
        <w:rPr>
          <w:rFonts w:cstheme="minorHAnsi"/>
          <w:b/>
        </w:rPr>
        <w:tab/>
        <w:t xml:space="preserve">Šifra </w:t>
      </w:r>
      <w:proofErr w:type="spellStart"/>
      <w:r w:rsidRPr="00B00802">
        <w:rPr>
          <w:rFonts w:cstheme="minorHAnsi"/>
          <w:b/>
        </w:rPr>
        <w:t>djelatn</w:t>
      </w:r>
      <w:proofErr w:type="spellEnd"/>
      <w:r w:rsidRPr="00B00802">
        <w:rPr>
          <w:rFonts w:cstheme="minorHAnsi"/>
          <w:b/>
        </w:rPr>
        <w:t>:</w:t>
      </w:r>
      <w:r w:rsidRPr="00B00802">
        <w:rPr>
          <w:rFonts w:cstheme="minorHAnsi"/>
          <w:b/>
        </w:rPr>
        <w:tab/>
        <w:t xml:space="preserve">9101 </w:t>
      </w:r>
      <w:proofErr w:type="spellStart"/>
      <w:r w:rsidRPr="00B00802">
        <w:rPr>
          <w:rFonts w:cstheme="minorHAnsi"/>
          <w:b/>
        </w:rPr>
        <w:t>Djelatn</w:t>
      </w:r>
      <w:proofErr w:type="spellEnd"/>
      <w:r w:rsidRPr="00B00802">
        <w:rPr>
          <w:rFonts w:cstheme="minorHAnsi"/>
          <w:b/>
        </w:rPr>
        <w:t>. knjižnica i arhiva</w:t>
      </w:r>
    </w:p>
    <w:p w14:paraId="08BB85D8" w14:textId="77777777" w:rsidR="00D75E1C" w:rsidRPr="00B00802" w:rsidRDefault="00D75E1C" w:rsidP="00D75E1C">
      <w:pPr>
        <w:spacing w:after="0"/>
        <w:rPr>
          <w:rFonts w:cstheme="minorHAnsi"/>
          <w:b/>
        </w:rPr>
      </w:pPr>
      <w:r w:rsidRPr="00B00802">
        <w:rPr>
          <w:rFonts w:cstheme="minorHAnsi"/>
          <w:b/>
        </w:rPr>
        <w:t>Sjedište:</w:t>
      </w:r>
      <w:r w:rsidRPr="00B00802">
        <w:rPr>
          <w:rFonts w:cstheme="minorHAnsi"/>
          <w:b/>
        </w:rPr>
        <w:tab/>
        <w:t>23281 SALI</w:t>
      </w:r>
      <w:r w:rsidRPr="00B00802">
        <w:rPr>
          <w:rFonts w:cstheme="minorHAnsi"/>
          <w:b/>
        </w:rPr>
        <w:tab/>
      </w:r>
      <w:r w:rsidRPr="00B00802">
        <w:rPr>
          <w:rFonts w:cstheme="minorHAnsi"/>
          <w:b/>
        </w:rPr>
        <w:tab/>
      </w:r>
      <w:r w:rsidRPr="00B00802">
        <w:rPr>
          <w:rFonts w:cstheme="minorHAnsi"/>
          <w:b/>
        </w:rPr>
        <w:tab/>
        <w:t>Šifra Županije:</w:t>
      </w:r>
      <w:r w:rsidRPr="00B00802">
        <w:rPr>
          <w:rFonts w:cstheme="minorHAnsi"/>
          <w:b/>
        </w:rPr>
        <w:tab/>
        <w:t>379 Općina Sali</w:t>
      </w:r>
    </w:p>
    <w:p w14:paraId="1D0A55C2" w14:textId="3BF4B931" w:rsidR="00D75E1C" w:rsidRPr="00B00802" w:rsidRDefault="00D75E1C" w:rsidP="00D75E1C">
      <w:pPr>
        <w:spacing w:after="0"/>
        <w:rPr>
          <w:rFonts w:cstheme="minorHAnsi"/>
          <w:b/>
        </w:rPr>
      </w:pPr>
      <w:r w:rsidRPr="00B00802">
        <w:rPr>
          <w:rFonts w:cstheme="minorHAnsi"/>
          <w:b/>
        </w:rPr>
        <w:t>Adresa:</w:t>
      </w:r>
      <w:r w:rsidRPr="00B00802">
        <w:rPr>
          <w:rFonts w:cstheme="minorHAnsi"/>
          <w:b/>
        </w:rPr>
        <w:tab/>
      </w:r>
      <w:r w:rsidRPr="00B00802">
        <w:rPr>
          <w:rFonts w:cstheme="minorHAnsi"/>
          <w:b/>
        </w:rPr>
        <w:tab/>
        <w:t>Sali II 69</w:t>
      </w:r>
      <w:r w:rsidRPr="00B00802">
        <w:rPr>
          <w:rFonts w:cstheme="minorHAnsi"/>
          <w:b/>
        </w:rPr>
        <w:tab/>
      </w:r>
      <w:r w:rsidRPr="00B00802">
        <w:rPr>
          <w:rFonts w:cstheme="minorHAnsi"/>
          <w:b/>
        </w:rPr>
        <w:tab/>
      </w:r>
      <w:r w:rsidRPr="00B00802">
        <w:rPr>
          <w:rFonts w:cstheme="minorHAnsi"/>
          <w:b/>
        </w:rPr>
        <w:tab/>
        <w:t>Razdoblje:</w:t>
      </w:r>
      <w:r w:rsidRPr="00B00802">
        <w:rPr>
          <w:rFonts w:cstheme="minorHAnsi"/>
          <w:b/>
        </w:rPr>
        <w:tab/>
        <w:t>od 01.01.2020. do 31.12.2020.</w:t>
      </w:r>
    </w:p>
    <w:p w14:paraId="33477CDA" w14:textId="57BE8250" w:rsidR="001550B9" w:rsidRPr="00B00802" w:rsidRDefault="00D75E1C" w:rsidP="00D75E1C">
      <w:pPr>
        <w:spacing w:after="0"/>
        <w:rPr>
          <w:rFonts w:cstheme="minorHAnsi"/>
          <w:b/>
        </w:rPr>
      </w:pPr>
      <w:r w:rsidRPr="00B00802">
        <w:rPr>
          <w:rFonts w:cstheme="minorHAnsi"/>
          <w:b/>
        </w:rPr>
        <w:tab/>
      </w:r>
    </w:p>
    <w:p w14:paraId="0A2E1A21" w14:textId="77777777" w:rsidR="00D75E1C" w:rsidRPr="00B00802" w:rsidRDefault="00D75E1C" w:rsidP="00D75E1C">
      <w:pPr>
        <w:spacing w:after="0"/>
        <w:jc w:val="center"/>
        <w:rPr>
          <w:rFonts w:cstheme="minorHAnsi"/>
          <w:b/>
        </w:rPr>
      </w:pPr>
      <w:r w:rsidRPr="00B00802">
        <w:rPr>
          <w:rFonts w:cstheme="minorHAnsi"/>
          <w:b/>
        </w:rPr>
        <w:t>BILJEŠKE</w:t>
      </w:r>
    </w:p>
    <w:p w14:paraId="25AD16A4" w14:textId="07FEAE17" w:rsidR="00D75E1C" w:rsidRPr="00B00802" w:rsidRDefault="00D75E1C" w:rsidP="00D75E1C">
      <w:pPr>
        <w:spacing w:after="0"/>
        <w:jc w:val="center"/>
        <w:rPr>
          <w:rFonts w:cstheme="minorHAnsi"/>
          <w:b/>
        </w:rPr>
      </w:pPr>
      <w:r w:rsidRPr="00B00802">
        <w:rPr>
          <w:rFonts w:cstheme="minorHAnsi"/>
          <w:b/>
        </w:rPr>
        <w:t>UZ FINANCIJSKE IZVJEŠTAJE ZA 2020. GODINU</w:t>
      </w:r>
    </w:p>
    <w:p w14:paraId="7C4A6352" w14:textId="77777777" w:rsidR="00D75E1C" w:rsidRPr="00B00802" w:rsidRDefault="00D75E1C" w:rsidP="00D75E1C">
      <w:pPr>
        <w:spacing w:after="0"/>
        <w:rPr>
          <w:rFonts w:cstheme="minorHAnsi"/>
          <w:b/>
        </w:rPr>
      </w:pPr>
    </w:p>
    <w:p w14:paraId="4CD14782" w14:textId="245A8A7E" w:rsidR="00D75E1C" w:rsidRPr="00B00802" w:rsidRDefault="00D75E1C" w:rsidP="00D75E1C">
      <w:pPr>
        <w:spacing w:after="0"/>
        <w:jc w:val="both"/>
        <w:rPr>
          <w:rFonts w:cstheme="minorHAnsi"/>
        </w:rPr>
      </w:pPr>
      <w:r w:rsidRPr="00B00802">
        <w:rPr>
          <w:rFonts w:cstheme="minorHAnsi"/>
        </w:rPr>
        <w:t xml:space="preserve">Općina Sali osnovala je 2000. godine Hrvatsku knjižnicu i čitaonicu Sali sa sjedištem, u Salima. Hrvatska knjižnica i čitaonica Sali obavlja svoju djelatnost na jednoj lokaciji. Ima dva stalno zaposlena djelatnika, Ante Mihića koji je ujedno i ravnatelj, </w:t>
      </w:r>
      <w:r w:rsidR="009A784F">
        <w:rPr>
          <w:rFonts w:cstheme="minorHAnsi"/>
        </w:rPr>
        <w:t>te</w:t>
      </w:r>
      <w:r w:rsidRPr="00B00802">
        <w:rPr>
          <w:rFonts w:cstheme="minorHAnsi"/>
        </w:rPr>
        <w:t xml:space="preserve"> </w:t>
      </w:r>
      <w:r w:rsidR="009A784F">
        <w:rPr>
          <w:rFonts w:cstheme="minorHAnsi"/>
        </w:rPr>
        <w:t xml:space="preserve">od </w:t>
      </w:r>
      <w:r w:rsidRPr="00B00802">
        <w:rPr>
          <w:rFonts w:cstheme="minorHAnsi"/>
        </w:rPr>
        <w:t xml:space="preserve">ove godine </w:t>
      </w:r>
      <w:r w:rsidR="009A784F">
        <w:rPr>
          <w:rFonts w:cstheme="minorHAnsi"/>
        </w:rPr>
        <w:t xml:space="preserve">novu </w:t>
      </w:r>
      <w:r w:rsidRPr="00B00802">
        <w:rPr>
          <w:rFonts w:cstheme="minorHAnsi"/>
        </w:rPr>
        <w:t>djelatnic</w:t>
      </w:r>
      <w:r w:rsidR="009A784F">
        <w:rPr>
          <w:rFonts w:cstheme="minorHAnsi"/>
        </w:rPr>
        <w:t>u</w:t>
      </w:r>
      <w:r w:rsidRPr="00B00802">
        <w:rPr>
          <w:rFonts w:cstheme="minorHAnsi"/>
        </w:rPr>
        <w:t xml:space="preserve"> koja je do sada koristila usluge Studentskog servisa</w:t>
      </w:r>
      <w:r w:rsidR="009A784F">
        <w:rPr>
          <w:rFonts w:cstheme="minorHAnsi"/>
        </w:rPr>
        <w:t xml:space="preserve">. </w:t>
      </w:r>
      <w:r w:rsidRPr="00B00802">
        <w:rPr>
          <w:rFonts w:cstheme="minorHAnsi"/>
        </w:rPr>
        <w:t xml:space="preserve">Proračunski korisnik obavlja djelatnost knjižničarstva i nije obveznik PDV-a. Rashodi poslovanja redovite djelatnosti financiraju se najvećim dijelom iz nadležnog proračuna, a manjim dijelom od naplate usluga korisnicima, te donacijama. </w:t>
      </w:r>
    </w:p>
    <w:p w14:paraId="631C5208" w14:textId="77777777" w:rsidR="00B67701" w:rsidRDefault="00B67701" w:rsidP="00D75E1C">
      <w:pPr>
        <w:jc w:val="both"/>
        <w:rPr>
          <w:rFonts w:cstheme="minorHAnsi"/>
        </w:rPr>
      </w:pPr>
    </w:p>
    <w:p w14:paraId="1091D689" w14:textId="624A9AAA" w:rsidR="00D75E1C" w:rsidRPr="00B00802" w:rsidRDefault="00D75E1C" w:rsidP="00D75E1C">
      <w:pPr>
        <w:jc w:val="both"/>
        <w:rPr>
          <w:rFonts w:cstheme="minorHAnsi"/>
        </w:rPr>
      </w:pPr>
      <w:r w:rsidRPr="00B00802">
        <w:rPr>
          <w:rFonts w:cstheme="minorHAnsi"/>
        </w:rPr>
        <w:t xml:space="preserve">Izvještaji o imovini i vlastitim izvorima, prihodima i rashodima, primicima i izdacima iskazani su za razdoblje od 01. siječnja do 31. prosinca 2020. godine, a dobiveni su iz Glavne knjige proračunskog korisnika, izrađene u programu </w:t>
      </w:r>
      <w:proofErr w:type="spellStart"/>
      <w:r w:rsidRPr="00B00802">
        <w:rPr>
          <w:rFonts w:cstheme="minorHAnsi"/>
        </w:rPr>
        <w:t>Synesis</w:t>
      </w:r>
      <w:proofErr w:type="spellEnd"/>
      <w:r w:rsidRPr="00B00802">
        <w:rPr>
          <w:rFonts w:cstheme="minorHAnsi"/>
        </w:rPr>
        <w:t xml:space="preserve">. </w:t>
      </w:r>
    </w:p>
    <w:p w14:paraId="45E005FC" w14:textId="77777777" w:rsidR="00D75E1C" w:rsidRPr="00B00802" w:rsidRDefault="00D75E1C" w:rsidP="00D75E1C">
      <w:pPr>
        <w:jc w:val="both"/>
        <w:rPr>
          <w:rFonts w:cstheme="minorHAnsi"/>
        </w:rPr>
      </w:pPr>
      <w:r w:rsidRPr="00B00802">
        <w:rPr>
          <w:rFonts w:cstheme="minorHAnsi"/>
        </w:rPr>
        <w:t>Poslovanje Hrvatske knjižnice i čitaonice Sali obavlja se preko vlastitog računa, otvorenog u OTP banci, IBAN:0324070001100123947.</w:t>
      </w:r>
    </w:p>
    <w:p w14:paraId="3E526193" w14:textId="77777777" w:rsidR="00D75E1C" w:rsidRPr="00B00802" w:rsidRDefault="00D75E1C" w:rsidP="00D75E1C">
      <w:pPr>
        <w:spacing w:after="0"/>
        <w:jc w:val="center"/>
        <w:rPr>
          <w:rFonts w:cstheme="minorHAnsi"/>
          <w:b/>
        </w:rPr>
      </w:pPr>
      <w:r w:rsidRPr="00B00802">
        <w:rPr>
          <w:rFonts w:cstheme="minorHAnsi"/>
          <w:b/>
        </w:rPr>
        <w:t>Zakonodavni okvir</w:t>
      </w:r>
    </w:p>
    <w:p w14:paraId="23BFFE70" w14:textId="77777777" w:rsidR="00D75E1C" w:rsidRPr="00B00802" w:rsidRDefault="00D75E1C" w:rsidP="00D75E1C">
      <w:pPr>
        <w:pStyle w:val="Odlomakpopisa"/>
        <w:numPr>
          <w:ilvl w:val="0"/>
          <w:numId w:val="1"/>
        </w:numPr>
        <w:jc w:val="both"/>
        <w:rPr>
          <w:rFonts w:asciiTheme="minorHAnsi" w:hAnsiTheme="minorHAnsi" w:cstheme="minorHAnsi"/>
          <w:sz w:val="22"/>
          <w:szCs w:val="22"/>
        </w:rPr>
      </w:pPr>
      <w:r w:rsidRPr="00B00802">
        <w:rPr>
          <w:rFonts w:asciiTheme="minorHAnsi" w:hAnsiTheme="minorHAnsi" w:cstheme="minorHAnsi"/>
          <w:sz w:val="22"/>
          <w:szCs w:val="22"/>
        </w:rPr>
        <w:t>Zakon o proračunu (NN 87/08, 136/12 i 15/15)</w:t>
      </w:r>
    </w:p>
    <w:p w14:paraId="1790D81F" w14:textId="77777777" w:rsidR="00D75E1C" w:rsidRPr="00B00802" w:rsidRDefault="00D75E1C" w:rsidP="00D75E1C">
      <w:pPr>
        <w:pStyle w:val="Odlomakpopisa"/>
        <w:numPr>
          <w:ilvl w:val="0"/>
          <w:numId w:val="1"/>
        </w:numPr>
        <w:jc w:val="both"/>
        <w:rPr>
          <w:rFonts w:asciiTheme="minorHAnsi" w:hAnsiTheme="minorHAnsi" w:cstheme="minorHAnsi"/>
          <w:sz w:val="22"/>
          <w:szCs w:val="22"/>
        </w:rPr>
      </w:pPr>
      <w:r w:rsidRPr="00B00802">
        <w:rPr>
          <w:rFonts w:asciiTheme="minorHAnsi" w:hAnsiTheme="minorHAnsi" w:cstheme="minorHAnsi"/>
          <w:sz w:val="22"/>
          <w:szCs w:val="22"/>
        </w:rPr>
        <w:t>Pravilnik o proračunskom računovodstvu i računskom planu (NN 124/14, 115/15 i 87/16, 3/18, 126/19 i 108/20)</w:t>
      </w:r>
    </w:p>
    <w:p w14:paraId="2ABFD10A" w14:textId="77777777" w:rsidR="00D75E1C" w:rsidRPr="00B00802" w:rsidRDefault="00D75E1C" w:rsidP="00D75E1C">
      <w:pPr>
        <w:pStyle w:val="Odlomakpopisa"/>
        <w:numPr>
          <w:ilvl w:val="0"/>
          <w:numId w:val="1"/>
        </w:numPr>
        <w:jc w:val="both"/>
        <w:rPr>
          <w:rFonts w:asciiTheme="minorHAnsi" w:hAnsiTheme="minorHAnsi" w:cstheme="minorHAnsi"/>
          <w:sz w:val="22"/>
          <w:szCs w:val="22"/>
        </w:rPr>
      </w:pPr>
      <w:r w:rsidRPr="00B00802">
        <w:rPr>
          <w:rFonts w:asciiTheme="minorHAnsi" w:hAnsiTheme="minorHAnsi" w:cstheme="minorHAnsi"/>
          <w:sz w:val="22"/>
          <w:szCs w:val="22"/>
        </w:rPr>
        <w:t>Pravilnik o financijskom izvještavanju u proračunskom računovodstvu (NN 3/15, 93/15, 135/15, 2/17, 28/17, 112/18 i 126/19)</w:t>
      </w:r>
    </w:p>
    <w:p w14:paraId="1BC333D1" w14:textId="77777777" w:rsidR="00D75E1C" w:rsidRPr="00B00802" w:rsidRDefault="00D75E1C" w:rsidP="00D75E1C">
      <w:pPr>
        <w:pStyle w:val="Odlomakpopisa"/>
        <w:numPr>
          <w:ilvl w:val="0"/>
          <w:numId w:val="1"/>
        </w:numPr>
        <w:jc w:val="both"/>
        <w:rPr>
          <w:rFonts w:asciiTheme="minorHAnsi" w:hAnsiTheme="minorHAnsi" w:cstheme="minorHAnsi"/>
          <w:sz w:val="22"/>
          <w:szCs w:val="22"/>
        </w:rPr>
      </w:pPr>
      <w:r w:rsidRPr="00B00802">
        <w:rPr>
          <w:rFonts w:asciiTheme="minorHAnsi" w:hAnsiTheme="minorHAnsi" w:cstheme="minorHAnsi"/>
          <w:sz w:val="22"/>
          <w:szCs w:val="22"/>
        </w:rPr>
        <w:t>Pravilnik o proračunskim klasifikacijama (NN 26/10, 120/13 i 1/20)</w:t>
      </w:r>
    </w:p>
    <w:p w14:paraId="0480262B" w14:textId="77777777" w:rsidR="00D75E1C" w:rsidRPr="00B00802" w:rsidRDefault="00D75E1C" w:rsidP="00D75E1C">
      <w:pPr>
        <w:spacing w:after="0"/>
        <w:jc w:val="both"/>
        <w:rPr>
          <w:rFonts w:cstheme="minorHAnsi"/>
        </w:rPr>
      </w:pPr>
    </w:p>
    <w:p w14:paraId="4344FD70" w14:textId="75D445E8" w:rsidR="00D75E1C" w:rsidRPr="00B00802" w:rsidRDefault="00D75E1C" w:rsidP="00D75E1C">
      <w:pPr>
        <w:spacing w:after="0"/>
        <w:jc w:val="center"/>
        <w:rPr>
          <w:rFonts w:cstheme="minorHAnsi"/>
          <w:b/>
        </w:rPr>
      </w:pPr>
      <w:r w:rsidRPr="00B00802">
        <w:rPr>
          <w:rFonts w:cstheme="minorHAnsi"/>
          <w:b/>
        </w:rPr>
        <w:t>Bilješke uz izvještaj o prihodima i rashodima, primicima i izdacima:</w:t>
      </w:r>
    </w:p>
    <w:p w14:paraId="6B8AB915" w14:textId="20A851EF" w:rsidR="008F62EA" w:rsidRPr="00B00802" w:rsidRDefault="008F62EA" w:rsidP="008F62EA">
      <w:pPr>
        <w:spacing w:after="0"/>
        <w:jc w:val="both"/>
        <w:rPr>
          <w:rFonts w:cstheme="minorHAnsi"/>
          <w:bCs/>
        </w:rPr>
      </w:pPr>
      <w:r w:rsidRPr="00B00802">
        <w:rPr>
          <w:rFonts w:cstheme="minorHAnsi"/>
          <w:bCs/>
        </w:rPr>
        <w:t>U 2020. godini Hrvatska knjižnica i čitaonica Sali je ostvarila 244.059 kun</w:t>
      </w:r>
      <w:r w:rsidR="00250C56" w:rsidRPr="00B00802">
        <w:rPr>
          <w:rFonts w:cstheme="minorHAnsi"/>
          <w:bCs/>
        </w:rPr>
        <w:t xml:space="preserve">a </w:t>
      </w:r>
      <w:r w:rsidRPr="00B00802">
        <w:rPr>
          <w:rFonts w:cstheme="minorHAnsi"/>
          <w:bCs/>
        </w:rPr>
        <w:t>prihoda poslovanja, što je za 2% manje od protekle godine</w:t>
      </w:r>
      <w:r w:rsidR="00250C56" w:rsidRPr="00B00802">
        <w:rPr>
          <w:rFonts w:cstheme="minorHAnsi"/>
          <w:bCs/>
        </w:rPr>
        <w:t xml:space="preserve">, te 231.104 kune rashoda poslovanja koji su za 6,6% uvećani u odnosu na proteklu godinu iz čega proizlazi 12.955 kuna viška prihoda poslovanja. </w:t>
      </w:r>
    </w:p>
    <w:p w14:paraId="745BF14C" w14:textId="77777777" w:rsidR="004A7A6F" w:rsidRPr="00B00802" w:rsidRDefault="004A7A6F" w:rsidP="008F62EA">
      <w:pPr>
        <w:spacing w:after="0"/>
        <w:jc w:val="both"/>
        <w:rPr>
          <w:rFonts w:cstheme="minorHAnsi"/>
          <w:bCs/>
        </w:rPr>
      </w:pPr>
    </w:p>
    <w:p w14:paraId="48BB85E8" w14:textId="77777777" w:rsidR="00D75E1C" w:rsidRPr="00B00802" w:rsidRDefault="00D75E1C" w:rsidP="00D75E1C">
      <w:pPr>
        <w:spacing w:after="0"/>
        <w:jc w:val="center"/>
        <w:rPr>
          <w:rFonts w:cstheme="minorHAnsi"/>
        </w:rPr>
      </w:pPr>
      <w:r w:rsidRPr="00B00802">
        <w:rPr>
          <w:rFonts w:cstheme="minorHAnsi"/>
        </w:rPr>
        <w:t>Bilješka 1.</w:t>
      </w:r>
    </w:p>
    <w:p w14:paraId="5D0CF56A" w14:textId="77777777" w:rsidR="00D75E1C" w:rsidRPr="00B00802" w:rsidRDefault="00D75E1C" w:rsidP="00D75E1C">
      <w:pPr>
        <w:spacing w:after="0"/>
        <w:jc w:val="center"/>
        <w:rPr>
          <w:rFonts w:cstheme="minorHAnsi"/>
        </w:rPr>
      </w:pPr>
      <w:r w:rsidRPr="00B00802">
        <w:rPr>
          <w:rFonts w:cstheme="minorHAnsi"/>
        </w:rPr>
        <w:t>AOP 056 – Kapitalne pomoći proračunu iz drugih proračuna</w:t>
      </w:r>
    </w:p>
    <w:p w14:paraId="23C1EE08" w14:textId="2251DD42" w:rsidR="00D75E1C" w:rsidRPr="00B00802" w:rsidRDefault="00BA6E63" w:rsidP="00D75E1C">
      <w:pPr>
        <w:spacing w:after="0"/>
        <w:jc w:val="both"/>
        <w:rPr>
          <w:rFonts w:cstheme="minorHAnsi"/>
        </w:rPr>
      </w:pPr>
      <w:r w:rsidRPr="00B00802">
        <w:rPr>
          <w:rFonts w:cstheme="minorHAnsi"/>
        </w:rPr>
        <w:t xml:space="preserve">Odnose </w:t>
      </w:r>
      <w:r w:rsidR="00D75E1C" w:rsidRPr="00B00802">
        <w:rPr>
          <w:rFonts w:cstheme="minorHAnsi"/>
        </w:rPr>
        <w:t xml:space="preserve">se </w:t>
      </w:r>
      <w:r w:rsidRPr="00B00802">
        <w:rPr>
          <w:rFonts w:cstheme="minorHAnsi"/>
        </w:rPr>
        <w:t>na</w:t>
      </w:r>
      <w:r w:rsidR="00D75E1C" w:rsidRPr="00B00802">
        <w:rPr>
          <w:rFonts w:cstheme="minorHAnsi"/>
        </w:rPr>
        <w:t xml:space="preserve"> kapitalne pomoći Ministarstva kulture u iznosu od 20.000.kuna</w:t>
      </w:r>
      <w:r w:rsidRPr="00B00802">
        <w:rPr>
          <w:rFonts w:cstheme="minorHAnsi"/>
        </w:rPr>
        <w:t>. Sredstva su u</w:t>
      </w:r>
      <w:r w:rsidR="00D75E1C" w:rsidRPr="00B00802">
        <w:rPr>
          <w:rFonts w:cstheme="minorHAnsi"/>
        </w:rPr>
        <w:t>trošen</w:t>
      </w:r>
      <w:r w:rsidRPr="00B00802">
        <w:rPr>
          <w:rFonts w:cstheme="minorHAnsi"/>
        </w:rPr>
        <w:t>a</w:t>
      </w:r>
      <w:r w:rsidR="00D75E1C" w:rsidRPr="00B00802">
        <w:rPr>
          <w:rFonts w:cstheme="minorHAnsi"/>
        </w:rPr>
        <w:t xml:space="preserve"> </w:t>
      </w:r>
      <w:r w:rsidRPr="00B00802">
        <w:rPr>
          <w:rFonts w:cstheme="minorHAnsi"/>
        </w:rPr>
        <w:t xml:space="preserve"> </w:t>
      </w:r>
      <w:r w:rsidR="00D75E1C" w:rsidRPr="00B00802">
        <w:rPr>
          <w:rFonts w:cstheme="minorHAnsi"/>
        </w:rPr>
        <w:t>namjenski–za nabavu knjižne građe.</w:t>
      </w:r>
    </w:p>
    <w:p w14:paraId="45D1A82E" w14:textId="77777777" w:rsidR="001550B9" w:rsidRPr="00B00802" w:rsidRDefault="001550B9" w:rsidP="00D75E1C">
      <w:pPr>
        <w:spacing w:after="0"/>
        <w:jc w:val="center"/>
        <w:rPr>
          <w:rFonts w:cstheme="minorHAnsi"/>
        </w:rPr>
      </w:pPr>
    </w:p>
    <w:p w14:paraId="61D5703C" w14:textId="588D7516" w:rsidR="00D75E1C" w:rsidRPr="00B00802" w:rsidRDefault="00D75E1C" w:rsidP="00D75E1C">
      <w:pPr>
        <w:spacing w:after="0"/>
        <w:jc w:val="center"/>
        <w:rPr>
          <w:rFonts w:cstheme="minorHAnsi"/>
        </w:rPr>
      </w:pPr>
      <w:r w:rsidRPr="00B00802">
        <w:rPr>
          <w:rFonts w:cstheme="minorHAnsi"/>
        </w:rPr>
        <w:t>Bilješka 2.</w:t>
      </w:r>
    </w:p>
    <w:p w14:paraId="543FAB00" w14:textId="77777777" w:rsidR="00D75E1C" w:rsidRPr="00B00802" w:rsidRDefault="00D75E1C" w:rsidP="00D75E1C">
      <w:pPr>
        <w:spacing w:after="0"/>
        <w:jc w:val="center"/>
        <w:rPr>
          <w:rFonts w:cstheme="minorHAnsi"/>
        </w:rPr>
      </w:pPr>
      <w:r w:rsidRPr="00B00802">
        <w:rPr>
          <w:rFonts w:cstheme="minorHAnsi"/>
        </w:rPr>
        <w:t>AOP 126 – Prihodi od pruženih usluga</w:t>
      </w:r>
    </w:p>
    <w:p w14:paraId="29900CD9" w14:textId="0E6BDB5F" w:rsidR="00D75E1C" w:rsidRPr="00B00802" w:rsidRDefault="00D75E1C" w:rsidP="00D75E1C">
      <w:pPr>
        <w:spacing w:after="0"/>
        <w:jc w:val="both"/>
        <w:rPr>
          <w:rFonts w:cstheme="minorHAnsi"/>
        </w:rPr>
      </w:pPr>
      <w:r w:rsidRPr="00B00802">
        <w:rPr>
          <w:rFonts w:cstheme="minorHAnsi"/>
        </w:rPr>
        <w:t xml:space="preserve">Prihodi od pruženih usluga odnose se na uplate članarine. </w:t>
      </w:r>
      <w:r w:rsidR="00BA6E63" w:rsidRPr="00B00802">
        <w:rPr>
          <w:rFonts w:cstheme="minorHAnsi"/>
        </w:rPr>
        <w:t xml:space="preserve">Umanjeni </w:t>
      </w:r>
      <w:r w:rsidRPr="00B00802">
        <w:rPr>
          <w:rFonts w:cstheme="minorHAnsi"/>
        </w:rPr>
        <w:t xml:space="preserve">su za </w:t>
      </w:r>
      <w:r w:rsidR="00BA6E63" w:rsidRPr="00B00802">
        <w:rPr>
          <w:rFonts w:cstheme="minorHAnsi"/>
        </w:rPr>
        <w:t>38</w:t>
      </w:r>
      <w:r w:rsidRPr="00B00802">
        <w:rPr>
          <w:rFonts w:cstheme="minorHAnsi"/>
        </w:rPr>
        <w:t xml:space="preserve">% u odnosu na prethodnu godinu. </w:t>
      </w:r>
    </w:p>
    <w:p w14:paraId="16499F40" w14:textId="77777777" w:rsidR="00D75E1C" w:rsidRPr="00B00802" w:rsidRDefault="00D75E1C" w:rsidP="00D75E1C">
      <w:pPr>
        <w:spacing w:after="0"/>
        <w:jc w:val="center"/>
        <w:rPr>
          <w:rFonts w:cstheme="minorHAnsi"/>
        </w:rPr>
      </w:pPr>
      <w:r w:rsidRPr="00B00802">
        <w:rPr>
          <w:rFonts w:cstheme="minorHAnsi"/>
        </w:rPr>
        <w:t>Bilješka 3.</w:t>
      </w:r>
    </w:p>
    <w:p w14:paraId="216F197E" w14:textId="77777777" w:rsidR="00D75E1C" w:rsidRPr="00B00802" w:rsidRDefault="00D75E1C" w:rsidP="00D75E1C">
      <w:pPr>
        <w:spacing w:after="0"/>
        <w:jc w:val="center"/>
        <w:rPr>
          <w:rFonts w:cstheme="minorHAnsi"/>
        </w:rPr>
      </w:pPr>
      <w:r w:rsidRPr="00B00802">
        <w:rPr>
          <w:rFonts w:cstheme="minorHAnsi"/>
        </w:rPr>
        <w:t>AOP 132 – Prihodi iz nadležnog proračuna za financiranje rashoda poslovanja</w:t>
      </w:r>
    </w:p>
    <w:p w14:paraId="3E31B5F0" w14:textId="095FD835" w:rsidR="00D75E1C" w:rsidRPr="00B00802" w:rsidRDefault="00D75E1C" w:rsidP="00D75E1C">
      <w:pPr>
        <w:spacing w:after="0"/>
        <w:jc w:val="both"/>
        <w:rPr>
          <w:rFonts w:cstheme="minorHAnsi"/>
        </w:rPr>
      </w:pPr>
      <w:r w:rsidRPr="00B00802">
        <w:rPr>
          <w:rFonts w:cstheme="minorHAnsi"/>
        </w:rPr>
        <w:lastRenderedPageBreak/>
        <w:t xml:space="preserve">Općina Sali, kao osnivač Hrvatske knjižnice i čitaonice Sali, financira </w:t>
      </w:r>
      <w:r w:rsidR="008F62EA" w:rsidRPr="00B00802">
        <w:rPr>
          <w:rFonts w:cstheme="minorHAnsi"/>
        </w:rPr>
        <w:t>sve rashode za zaposlene i</w:t>
      </w:r>
      <w:r w:rsidRPr="00B00802">
        <w:rPr>
          <w:rFonts w:cstheme="minorHAnsi"/>
        </w:rPr>
        <w:t xml:space="preserve"> materijalne rashode. Prihodi iz nadležnog proračuna za financiranje rashoda poslovanja povećani su za </w:t>
      </w:r>
      <w:r w:rsidR="00BA6E63" w:rsidRPr="00B00802">
        <w:rPr>
          <w:rFonts w:cstheme="minorHAnsi"/>
        </w:rPr>
        <w:t>2,5</w:t>
      </w:r>
      <w:r w:rsidRPr="00B00802">
        <w:rPr>
          <w:rFonts w:cstheme="minorHAnsi"/>
        </w:rPr>
        <w:t>% u odnosu na ostvarenje u izvještajnom razdoblju protekle godine</w:t>
      </w:r>
      <w:r w:rsidR="008F62EA" w:rsidRPr="00B00802">
        <w:rPr>
          <w:rFonts w:cstheme="minorHAnsi"/>
        </w:rPr>
        <w:t>.</w:t>
      </w:r>
    </w:p>
    <w:p w14:paraId="141D96C0" w14:textId="77777777" w:rsidR="00D75E1C" w:rsidRPr="00B00802" w:rsidRDefault="00D75E1C" w:rsidP="00D75E1C">
      <w:pPr>
        <w:spacing w:after="0"/>
        <w:jc w:val="both"/>
        <w:rPr>
          <w:rFonts w:cstheme="minorHAnsi"/>
        </w:rPr>
      </w:pPr>
    </w:p>
    <w:p w14:paraId="4E2D0011" w14:textId="77777777" w:rsidR="00D75E1C" w:rsidRPr="00B00802" w:rsidRDefault="00D75E1C" w:rsidP="00D75E1C">
      <w:pPr>
        <w:spacing w:after="0"/>
        <w:jc w:val="center"/>
        <w:rPr>
          <w:rFonts w:cstheme="minorHAnsi"/>
        </w:rPr>
      </w:pPr>
      <w:r w:rsidRPr="00B00802">
        <w:rPr>
          <w:rFonts w:cstheme="minorHAnsi"/>
        </w:rPr>
        <w:t>Bilješka 4.</w:t>
      </w:r>
    </w:p>
    <w:p w14:paraId="2F686E7C" w14:textId="77777777" w:rsidR="00D75E1C" w:rsidRPr="00B00802" w:rsidRDefault="00D75E1C" w:rsidP="00D75E1C">
      <w:pPr>
        <w:spacing w:after="0"/>
        <w:jc w:val="center"/>
        <w:rPr>
          <w:rFonts w:cstheme="minorHAnsi"/>
        </w:rPr>
      </w:pPr>
      <w:r w:rsidRPr="00B00802">
        <w:rPr>
          <w:rFonts w:cstheme="minorHAnsi"/>
        </w:rPr>
        <w:t>AOP 148 - Rashodi poslovanja</w:t>
      </w:r>
    </w:p>
    <w:p w14:paraId="54634A83" w14:textId="50D791F7" w:rsidR="00D75E1C" w:rsidRPr="00B00802" w:rsidRDefault="00D75E1C" w:rsidP="00D75E1C">
      <w:pPr>
        <w:spacing w:after="0"/>
        <w:jc w:val="both"/>
        <w:rPr>
          <w:rFonts w:cstheme="minorHAnsi"/>
        </w:rPr>
      </w:pPr>
      <w:r w:rsidRPr="00B00802">
        <w:rPr>
          <w:rFonts w:cstheme="minorHAnsi"/>
        </w:rPr>
        <w:t xml:space="preserve">Rashodi poslovanja </w:t>
      </w:r>
      <w:r w:rsidR="008F0BFE" w:rsidRPr="00B00802">
        <w:rPr>
          <w:rFonts w:cstheme="minorHAnsi"/>
        </w:rPr>
        <w:t xml:space="preserve">iznose  231.104 kune, </w:t>
      </w:r>
      <w:r w:rsidRPr="00B00802">
        <w:rPr>
          <w:rFonts w:cstheme="minorHAnsi"/>
        </w:rPr>
        <w:t xml:space="preserve">uvećani su za </w:t>
      </w:r>
      <w:r w:rsidR="008F0BFE" w:rsidRPr="00B00802">
        <w:rPr>
          <w:rFonts w:cstheme="minorHAnsi"/>
        </w:rPr>
        <w:t>6,6</w:t>
      </w:r>
      <w:r w:rsidRPr="00B00802">
        <w:rPr>
          <w:rFonts w:cstheme="minorHAnsi"/>
        </w:rPr>
        <w:t xml:space="preserve">% u odnosu na ostvarenje u izvještajnom razdoblju protekle godine. </w:t>
      </w:r>
      <w:r w:rsidR="008F62EA" w:rsidRPr="00B00802">
        <w:rPr>
          <w:rFonts w:cstheme="minorHAnsi"/>
        </w:rPr>
        <w:t>P</w:t>
      </w:r>
      <w:r w:rsidRPr="00B00802">
        <w:rPr>
          <w:rFonts w:cstheme="minorHAnsi"/>
        </w:rPr>
        <w:t>ovećanje se odnosi na</w:t>
      </w:r>
      <w:r w:rsidR="008F62EA" w:rsidRPr="00B00802">
        <w:rPr>
          <w:rFonts w:cstheme="minorHAnsi"/>
        </w:rPr>
        <w:t xml:space="preserve"> rashode za zaposlene jer je zaposlena nova djelatnica</w:t>
      </w:r>
      <w:r w:rsidR="008F0BFE" w:rsidRPr="00B00802">
        <w:rPr>
          <w:rFonts w:cstheme="minorHAnsi"/>
        </w:rPr>
        <w:t xml:space="preserve">, dok su istovremeno </w:t>
      </w:r>
      <w:r w:rsidR="008F62EA" w:rsidRPr="00B00802">
        <w:rPr>
          <w:rFonts w:cstheme="minorHAnsi"/>
        </w:rPr>
        <w:t xml:space="preserve"> </w:t>
      </w:r>
      <w:r w:rsidRPr="00B00802">
        <w:rPr>
          <w:rFonts w:cstheme="minorHAnsi"/>
        </w:rPr>
        <w:t>Intelektualne i osobne usluge</w:t>
      </w:r>
      <w:r w:rsidR="008F0BFE" w:rsidRPr="00B00802">
        <w:rPr>
          <w:rFonts w:cstheme="minorHAnsi"/>
        </w:rPr>
        <w:t xml:space="preserve"> za rad preko studentskog servisa</w:t>
      </w:r>
      <w:r w:rsidRPr="00B00802">
        <w:rPr>
          <w:rFonts w:cstheme="minorHAnsi"/>
        </w:rPr>
        <w:t xml:space="preserve"> prikazane na oznaci AOP 181</w:t>
      </w:r>
      <w:r w:rsidR="008F0BFE" w:rsidRPr="00B00802">
        <w:rPr>
          <w:rFonts w:cstheme="minorHAnsi"/>
        </w:rPr>
        <w:t xml:space="preserve"> umanjene.</w:t>
      </w:r>
    </w:p>
    <w:p w14:paraId="002E57AA" w14:textId="77777777" w:rsidR="00D75E1C" w:rsidRPr="00B00802" w:rsidRDefault="00D75E1C" w:rsidP="00D75E1C">
      <w:pPr>
        <w:spacing w:after="0"/>
        <w:jc w:val="both"/>
        <w:rPr>
          <w:rFonts w:cstheme="minorHAnsi"/>
        </w:rPr>
      </w:pPr>
    </w:p>
    <w:p w14:paraId="0CE5C098" w14:textId="77777777" w:rsidR="00D75E1C" w:rsidRPr="00B00802" w:rsidRDefault="00D75E1C" w:rsidP="00D75E1C">
      <w:pPr>
        <w:spacing w:after="0"/>
        <w:jc w:val="center"/>
        <w:rPr>
          <w:rFonts w:cstheme="minorHAnsi"/>
        </w:rPr>
      </w:pPr>
      <w:r w:rsidRPr="00B00802">
        <w:rPr>
          <w:rFonts w:cstheme="minorHAnsi"/>
        </w:rPr>
        <w:t>Bilješka 5.</w:t>
      </w:r>
    </w:p>
    <w:p w14:paraId="651A44A9" w14:textId="77777777" w:rsidR="00D75E1C" w:rsidRPr="00B00802" w:rsidRDefault="00D75E1C" w:rsidP="00D75E1C">
      <w:pPr>
        <w:spacing w:after="0"/>
        <w:jc w:val="center"/>
        <w:rPr>
          <w:rFonts w:cstheme="minorHAnsi"/>
        </w:rPr>
      </w:pPr>
      <w:r w:rsidRPr="00B00802">
        <w:rPr>
          <w:rFonts w:cstheme="minorHAnsi"/>
        </w:rPr>
        <w:t>AOP 193 – Financijski rashodi</w:t>
      </w:r>
    </w:p>
    <w:p w14:paraId="3BC8ED83" w14:textId="4B16C774" w:rsidR="00D75E1C" w:rsidRPr="00B00802" w:rsidRDefault="00D75E1C" w:rsidP="00D75E1C">
      <w:pPr>
        <w:spacing w:after="0"/>
        <w:jc w:val="both"/>
        <w:rPr>
          <w:rFonts w:cstheme="minorHAnsi"/>
        </w:rPr>
      </w:pPr>
      <w:r w:rsidRPr="00B00802">
        <w:rPr>
          <w:rFonts w:cstheme="minorHAnsi"/>
        </w:rPr>
        <w:t xml:space="preserve">Odnose se na </w:t>
      </w:r>
      <w:r w:rsidR="007B6474" w:rsidRPr="00B00802">
        <w:rPr>
          <w:rFonts w:cstheme="minorHAnsi"/>
        </w:rPr>
        <w:t>bankarske usluge i usluge platnog prometa.</w:t>
      </w:r>
      <w:r w:rsidRPr="00B00802">
        <w:rPr>
          <w:rFonts w:cstheme="minorHAnsi"/>
        </w:rPr>
        <w:t xml:space="preserve"> </w:t>
      </w:r>
    </w:p>
    <w:p w14:paraId="247E4D15" w14:textId="77777777" w:rsidR="00D75E1C" w:rsidRPr="00B00802" w:rsidRDefault="00D75E1C" w:rsidP="00D75E1C">
      <w:pPr>
        <w:spacing w:after="0"/>
        <w:jc w:val="both"/>
        <w:rPr>
          <w:rFonts w:cstheme="minorHAnsi"/>
        </w:rPr>
      </w:pPr>
    </w:p>
    <w:p w14:paraId="1C5FEF54" w14:textId="0278DCC8" w:rsidR="00D75E1C" w:rsidRPr="00B00802" w:rsidRDefault="00D75E1C" w:rsidP="00D75E1C">
      <w:pPr>
        <w:spacing w:after="0"/>
        <w:jc w:val="center"/>
        <w:rPr>
          <w:rFonts w:cstheme="minorHAnsi"/>
        </w:rPr>
      </w:pPr>
      <w:r w:rsidRPr="00B00802">
        <w:rPr>
          <w:rFonts w:cstheme="minorHAnsi"/>
        </w:rPr>
        <w:t xml:space="preserve">Bilješka </w:t>
      </w:r>
      <w:r w:rsidR="004A7A6F" w:rsidRPr="00B00802">
        <w:rPr>
          <w:rFonts w:cstheme="minorHAnsi"/>
        </w:rPr>
        <w:t>6</w:t>
      </w:r>
      <w:r w:rsidRPr="00B00802">
        <w:rPr>
          <w:rFonts w:cstheme="minorHAnsi"/>
        </w:rPr>
        <w:t>.</w:t>
      </w:r>
    </w:p>
    <w:p w14:paraId="276D350C" w14:textId="5746FD73" w:rsidR="00D75E1C" w:rsidRPr="00B00802" w:rsidRDefault="00D75E1C" w:rsidP="00D75E1C">
      <w:pPr>
        <w:spacing w:after="0"/>
        <w:jc w:val="center"/>
        <w:rPr>
          <w:rFonts w:cstheme="minorHAnsi"/>
        </w:rPr>
      </w:pPr>
      <w:r w:rsidRPr="00B00802">
        <w:rPr>
          <w:rFonts w:cstheme="minorHAnsi"/>
        </w:rPr>
        <w:t>AOP 34</w:t>
      </w:r>
      <w:r w:rsidR="002F28BD" w:rsidRPr="00B00802">
        <w:rPr>
          <w:rFonts w:cstheme="minorHAnsi"/>
        </w:rPr>
        <w:t>1</w:t>
      </w:r>
      <w:r w:rsidRPr="00B00802">
        <w:rPr>
          <w:rFonts w:cstheme="minorHAnsi"/>
          <w:b/>
        </w:rPr>
        <w:t xml:space="preserve"> - </w:t>
      </w:r>
      <w:r w:rsidRPr="00B00802">
        <w:rPr>
          <w:rFonts w:cstheme="minorHAnsi"/>
        </w:rPr>
        <w:t xml:space="preserve">Rashodi za nabavu </w:t>
      </w:r>
      <w:r w:rsidR="00250C56" w:rsidRPr="00B00802">
        <w:rPr>
          <w:rFonts w:cstheme="minorHAnsi"/>
        </w:rPr>
        <w:t>nefinancijske imovine</w:t>
      </w:r>
    </w:p>
    <w:p w14:paraId="2398C46F" w14:textId="4A7100DF" w:rsidR="00D75E1C" w:rsidRPr="00B00802" w:rsidRDefault="00D75E1C" w:rsidP="00D75E1C">
      <w:pPr>
        <w:spacing w:after="0"/>
        <w:jc w:val="both"/>
        <w:rPr>
          <w:rFonts w:cstheme="minorHAnsi"/>
        </w:rPr>
      </w:pPr>
      <w:r w:rsidRPr="00B00802">
        <w:rPr>
          <w:rFonts w:cstheme="minorHAnsi"/>
        </w:rPr>
        <w:t>Odnose se na nabavu kapitalne imovine, odnosno nabavu knjižne građe</w:t>
      </w:r>
      <w:r w:rsidR="00250C56" w:rsidRPr="00B00802">
        <w:rPr>
          <w:rFonts w:cstheme="minorHAnsi"/>
        </w:rPr>
        <w:t xml:space="preserve">, </w:t>
      </w:r>
      <w:r w:rsidRPr="00B00802">
        <w:rPr>
          <w:rFonts w:cstheme="minorHAnsi"/>
        </w:rPr>
        <w:t>financirane</w:t>
      </w:r>
      <w:r w:rsidR="00250C56" w:rsidRPr="00B00802">
        <w:rPr>
          <w:rFonts w:cstheme="minorHAnsi"/>
        </w:rPr>
        <w:t xml:space="preserve"> sa</w:t>
      </w:r>
      <w:r w:rsidRPr="00B00802">
        <w:rPr>
          <w:rFonts w:cstheme="minorHAnsi"/>
        </w:rPr>
        <w:t xml:space="preserve"> kapitalnom pomoći iz nadležnog Ministarstva kulture.</w:t>
      </w:r>
    </w:p>
    <w:p w14:paraId="36B49D35" w14:textId="77777777" w:rsidR="00D75E1C" w:rsidRPr="00B00802" w:rsidRDefault="00D75E1C" w:rsidP="00D75E1C">
      <w:pPr>
        <w:spacing w:after="0"/>
        <w:jc w:val="both"/>
        <w:rPr>
          <w:rFonts w:cstheme="minorHAnsi"/>
        </w:rPr>
      </w:pPr>
    </w:p>
    <w:p w14:paraId="49FFCDA6" w14:textId="20BE2742" w:rsidR="00D75E1C" w:rsidRPr="00B00802" w:rsidRDefault="00D75E1C" w:rsidP="00D75E1C">
      <w:pPr>
        <w:spacing w:after="0"/>
        <w:jc w:val="center"/>
        <w:rPr>
          <w:rFonts w:cstheme="minorHAnsi"/>
        </w:rPr>
      </w:pPr>
      <w:r w:rsidRPr="00B00802">
        <w:rPr>
          <w:rFonts w:cstheme="minorHAnsi"/>
        </w:rPr>
        <w:t xml:space="preserve">Bilješka </w:t>
      </w:r>
      <w:r w:rsidR="004A7A6F" w:rsidRPr="00B00802">
        <w:rPr>
          <w:rFonts w:cstheme="minorHAnsi"/>
        </w:rPr>
        <w:t>7</w:t>
      </w:r>
      <w:r w:rsidRPr="00B00802">
        <w:rPr>
          <w:rFonts w:cstheme="minorHAnsi"/>
        </w:rPr>
        <w:t>.</w:t>
      </w:r>
    </w:p>
    <w:p w14:paraId="75813982" w14:textId="77777777" w:rsidR="00D75E1C" w:rsidRPr="00B00802" w:rsidRDefault="00D75E1C" w:rsidP="00D75E1C">
      <w:pPr>
        <w:spacing w:after="0"/>
        <w:jc w:val="center"/>
        <w:rPr>
          <w:rFonts w:cstheme="minorHAnsi"/>
        </w:rPr>
      </w:pPr>
      <w:r w:rsidRPr="00B00802">
        <w:rPr>
          <w:rFonts w:cstheme="minorHAnsi"/>
        </w:rPr>
        <w:t>AOP – 636 Manjak prihoda i primitaka raspoloživ u sljedećem razdoblju</w:t>
      </w:r>
    </w:p>
    <w:p w14:paraId="7988391E" w14:textId="662270E6" w:rsidR="00D75E1C" w:rsidRPr="00B00802" w:rsidRDefault="00D75E1C" w:rsidP="00D75E1C">
      <w:pPr>
        <w:spacing w:after="0"/>
        <w:jc w:val="both"/>
        <w:rPr>
          <w:rFonts w:cstheme="minorHAnsi"/>
        </w:rPr>
      </w:pPr>
      <w:r w:rsidRPr="00B00802">
        <w:rPr>
          <w:rFonts w:cstheme="minorHAnsi"/>
        </w:rPr>
        <w:t>Rezultat poslovanja na kraju 20</w:t>
      </w:r>
      <w:r w:rsidR="00A10C59" w:rsidRPr="00B00802">
        <w:rPr>
          <w:rFonts w:cstheme="minorHAnsi"/>
        </w:rPr>
        <w:t>20</w:t>
      </w:r>
      <w:r w:rsidRPr="00B00802">
        <w:rPr>
          <w:rFonts w:cstheme="minorHAnsi"/>
        </w:rPr>
        <w:t xml:space="preserve">. godine u iznosu od </w:t>
      </w:r>
      <w:r w:rsidR="00A10C59" w:rsidRPr="00B00802">
        <w:rPr>
          <w:rFonts w:cstheme="minorHAnsi"/>
        </w:rPr>
        <w:t>16</w:t>
      </w:r>
      <w:r w:rsidRPr="00B00802">
        <w:rPr>
          <w:rFonts w:cstheme="minorHAnsi"/>
        </w:rPr>
        <w:t>.</w:t>
      </w:r>
      <w:r w:rsidR="00A10C59" w:rsidRPr="00B00802">
        <w:rPr>
          <w:rFonts w:cstheme="minorHAnsi"/>
        </w:rPr>
        <w:t>787</w:t>
      </w:r>
      <w:r w:rsidRPr="00B00802">
        <w:rPr>
          <w:rFonts w:cstheme="minorHAnsi"/>
        </w:rPr>
        <w:t xml:space="preserve"> kuna proizlazi iz razlike ukupnih prihoda i primitaka u iznosu od 24</w:t>
      </w:r>
      <w:r w:rsidR="00A10C59" w:rsidRPr="00B00802">
        <w:rPr>
          <w:rFonts w:cstheme="minorHAnsi"/>
        </w:rPr>
        <w:t>4</w:t>
      </w:r>
      <w:r w:rsidRPr="00B00802">
        <w:rPr>
          <w:rFonts w:cstheme="minorHAnsi"/>
        </w:rPr>
        <w:t>.</w:t>
      </w:r>
      <w:r w:rsidR="00A10C59" w:rsidRPr="00B00802">
        <w:rPr>
          <w:rFonts w:cstheme="minorHAnsi"/>
        </w:rPr>
        <w:t>059 kuna</w:t>
      </w:r>
      <w:r w:rsidRPr="00B00802">
        <w:rPr>
          <w:rFonts w:cstheme="minorHAnsi"/>
        </w:rPr>
        <w:t>, ukupnih rashoda i izdataka u iznosu od 2</w:t>
      </w:r>
      <w:r w:rsidR="00A10C59" w:rsidRPr="00B00802">
        <w:rPr>
          <w:rFonts w:cstheme="minorHAnsi"/>
        </w:rPr>
        <w:t>57</w:t>
      </w:r>
      <w:r w:rsidRPr="00B00802">
        <w:rPr>
          <w:rFonts w:cstheme="minorHAnsi"/>
        </w:rPr>
        <w:t>.</w:t>
      </w:r>
      <w:r w:rsidR="00A10C59" w:rsidRPr="00B00802">
        <w:rPr>
          <w:rFonts w:cstheme="minorHAnsi"/>
        </w:rPr>
        <w:t>026</w:t>
      </w:r>
      <w:r w:rsidRPr="00B00802">
        <w:rPr>
          <w:rFonts w:cstheme="minorHAnsi"/>
        </w:rPr>
        <w:t xml:space="preserve"> kuna, te prenesenog manjka prihoda i primitaka u iznosu od </w:t>
      </w:r>
      <w:r w:rsidR="00A10C59" w:rsidRPr="00B00802">
        <w:rPr>
          <w:rFonts w:cstheme="minorHAnsi"/>
        </w:rPr>
        <w:t>3</w:t>
      </w:r>
      <w:r w:rsidRPr="00B00802">
        <w:rPr>
          <w:rFonts w:cstheme="minorHAnsi"/>
        </w:rPr>
        <w:t>.</w:t>
      </w:r>
      <w:r w:rsidR="00A10C59" w:rsidRPr="00B00802">
        <w:rPr>
          <w:rFonts w:cstheme="minorHAnsi"/>
        </w:rPr>
        <w:t>820</w:t>
      </w:r>
      <w:r w:rsidRPr="00B00802">
        <w:rPr>
          <w:rFonts w:cstheme="minorHAnsi"/>
        </w:rPr>
        <w:t xml:space="preserve"> kun</w:t>
      </w:r>
      <w:r w:rsidR="00A10C59" w:rsidRPr="00B00802">
        <w:rPr>
          <w:rFonts w:cstheme="minorHAnsi"/>
        </w:rPr>
        <w:t>a</w:t>
      </w:r>
      <w:r w:rsidRPr="00B00802">
        <w:rPr>
          <w:rFonts w:cstheme="minorHAnsi"/>
        </w:rPr>
        <w:t xml:space="preserve">. Na kraju razdoblja, nakon </w:t>
      </w:r>
      <w:r w:rsidR="009A784F">
        <w:rPr>
          <w:rFonts w:cstheme="minorHAnsi"/>
        </w:rPr>
        <w:t xml:space="preserve">donesene  </w:t>
      </w:r>
      <w:r w:rsidR="00A10C59" w:rsidRPr="00B00802">
        <w:rPr>
          <w:rFonts w:cstheme="minorHAnsi"/>
        </w:rPr>
        <w:t>odluk</w:t>
      </w:r>
      <w:r w:rsidR="009A784F">
        <w:rPr>
          <w:rFonts w:cstheme="minorHAnsi"/>
        </w:rPr>
        <w:t>e</w:t>
      </w:r>
      <w:r w:rsidR="00A10C59" w:rsidRPr="00B00802">
        <w:rPr>
          <w:rFonts w:cstheme="minorHAnsi"/>
        </w:rPr>
        <w:t xml:space="preserve"> o rasporedu rezultata i</w:t>
      </w:r>
      <w:r w:rsidRPr="00B00802">
        <w:rPr>
          <w:rFonts w:cstheme="minorHAnsi"/>
        </w:rPr>
        <w:t xml:space="preserve"> </w:t>
      </w:r>
      <w:r w:rsidR="00A10C59" w:rsidRPr="00B00802">
        <w:rPr>
          <w:rFonts w:cstheme="minorHAnsi"/>
        </w:rPr>
        <w:t xml:space="preserve">1. </w:t>
      </w:r>
      <w:r w:rsidRPr="00B00802">
        <w:rPr>
          <w:rFonts w:cstheme="minorHAnsi"/>
        </w:rPr>
        <w:t xml:space="preserve">korekcije,  rezultat je evidentiran kao </w:t>
      </w:r>
      <w:r w:rsidR="00A10C59" w:rsidRPr="00B00802">
        <w:rPr>
          <w:rFonts w:cstheme="minorHAnsi"/>
        </w:rPr>
        <w:t>7</w:t>
      </w:r>
      <w:r w:rsidRPr="00B00802">
        <w:rPr>
          <w:rFonts w:cstheme="minorHAnsi"/>
        </w:rPr>
        <w:t>.</w:t>
      </w:r>
      <w:r w:rsidR="00A10C59" w:rsidRPr="00B00802">
        <w:rPr>
          <w:rFonts w:cstheme="minorHAnsi"/>
        </w:rPr>
        <w:t>044,38</w:t>
      </w:r>
      <w:r w:rsidRPr="00B00802">
        <w:rPr>
          <w:rFonts w:cstheme="minorHAnsi"/>
        </w:rPr>
        <w:t xml:space="preserve"> kuna </w:t>
      </w:r>
      <w:r w:rsidR="00A10C59" w:rsidRPr="00B00802">
        <w:rPr>
          <w:rFonts w:cstheme="minorHAnsi"/>
        </w:rPr>
        <w:t>manjka</w:t>
      </w:r>
      <w:r w:rsidRPr="00B00802">
        <w:rPr>
          <w:rFonts w:cstheme="minorHAnsi"/>
        </w:rPr>
        <w:t xml:space="preserve"> prihoda poslovanja i </w:t>
      </w:r>
      <w:r w:rsidR="004A7A6F" w:rsidRPr="00B00802">
        <w:rPr>
          <w:rFonts w:cstheme="minorHAnsi"/>
        </w:rPr>
        <w:t>9.742,22</w:t>
      </w:r>
      <w:r w:rsidRPr="00B00802">
        <w:rPr>
          <w:rFonts w:cstheme="minorHAnsi"/>
        </w:rPr>
        <w:t xml:space="preserve"> kuna manjka prihoda od nefinancijske imovine što je objašnjeno u Bilješci 1</w:t>
      </w:r>
      <w:r w:rsidR="008820C9">
        <w:rPr>
          <w:rFonts w:cstheme="minorHAnsi"/>
        </w:rPr>
        <w:t>1</w:t>
      </w:r>
      <w:r w:rsidRPr="00B00802">
        <w:rPr>
          <w:rFonts w:cstheme="minorHAnsi"/>
        </w:rPr>
        <w:t>., AOP 2</w:t>
      </w:r>
      <w:r w:rsidR="0047248A" w:rsidRPr="00B00802">
        <w:rPr>
          <w:rFonts w:cstheme="minorHAnsi"/>
        </w:rPr>
        <w:t>42</w:t>
      </w:r>
      <w:r w:rsidRPr="00B00802">
        <w:rPr>
          <w:rFonts w:cstheme="minorHAnsi"/>
        </w:rPr>
        <w:t xml:space="preserve"> – Manjak prihoda, uz obrazac Bilanca.</w:t>
      </w:r>
    </w:p>
    <w:p w14:paraId="7A042EB4" w14:textId="77777777" w:rsidR="00D75E1C" w:rsidRPr="00B00802" w:rsidRDefault="00D75E1C" w:rsidP="00D75E1C">
      <w:pPr>
        <w:spacing w:after="0"/>
        <w:jc w:val="both"/>
        <w:rPr>
          <w:rFonts w:cstheme="minorHAnsi"/>
          <w:b/>
        </w:rPr>
      </w:pPr>
    </w:p>
    <w:p w14:paraId="0D80A482" w14:textId="4173B234" w:rsidR="00D75E1C" w:rsidRPr="00B00802" w:rsidRDefault="00D75E1C" w:rsidP="00D75E1C">
      <w:pPr>
        <w:spacing w:after="0"/>
        <w:jc w:val="center"/>
        <w:rPr>
          <w:rFonts w:cstheme="minorHAnsi"/>
          <w:b/>
        </w:rPr>
      </w:pPr>
      <w:r w:rsidRPr="00B00802">
        <w:rPr>
          <w:rFonts w:cstheme="minorHAnsi"/>
          <w:b/>
        </w:rPr>
        <w:t>Bilješke uz bilancu stanja na dan 31.12.20</w:t>
      </w:r>
      <w:r w:rsidR="004A7A6F" w:rsidRPr="00B00802">
        <w:rPr>
          <w:rFonts w:cstheme="minorHAnsi"/>
          <w:b/>
        </w:rPr>
        <w:t>20</w:t>
      </w:r>
      <w:r w:rsidRPr="00B00802">
        <w:rPr>
          <w:rFonts w:cstheme="minorHAnsi"/>
          <w:b/>
        </w:rPr>
        <w:t>. godine</w:t>
      </w:r>
    </w:p>
    <w:p w14:paraId="1B33BF1C" w14:textId="36888969" w:rsidR="00D75E1C" w:rsidRPr="00B00802" w:rsidRDefault="00D75E1C" w:rsidP="00D75E1C">
      <w:pPr>
        <w:spacing w:after="0"/>
        <w:jc w:val="both"/>
        <w:rPr>
          <w:rFonts w:cstheme="minorHAnsi"/>
        </w:rPr>
      </w:pPr>
      <w:r w:rsidRPr="00B00802">
        <w:rPr>
          <w:rFonts w:cstheme="minorHAnsi"/>
        </w:rPr>
        <w:t>U obrascu Bilanca stanja na dan 31.12.20</w:t>
      </w:r>
      <w:r w:rsidR="004A7A6F" w:rsidRPr="00B00802">
        <w:rPr>
          <w:rFonts w:cstheme="minorHAnsi"/>
        </w:rPr>
        <w:t>20</w:t>
      </w:r>
      <w:r w:rsidRPr="00B00802">
        <w:rPr>
          <w:rFonts w:cstheme="minorHAnsi"/>
        </w:rPr>
        <w:t>. godine, koji predstavlja vrijednosno iskazani pregled imovine, obveza i vlastitih izvora, ne postoje ugovorni odnosi koji uz ispunjenje određenih uvjeta mogu postati obveza ili imovina, te ne postoje nikakva dana ili dobivena jamstva, založna prava ili drugi instrumenti osiguranja plaćanja. Sadržaj evidencije sudskih sporova nije  prikazan je</w:t>
      </w:r>
      <w:r w:rsidR="004A7A6F" w:rsidRPr="00B00802">
        <w:rPr>
          <w:rFonts w:cstheme="minorHAnsi"/>
        </w:rPr>
        <w:t>r</w:t>
      </w:r>
      <w:r w:rsidRPr="00B00802">
        <w:rPr>
          <w:rFonts w:cstheme="minorHAnsi"/>
        </w:rPr>
        <w:t xml:space="preserve"> se ne vode nikakvi sudski sporovi.</w:t>
      </w:r>
    </w:p>
    <w:p w14:paraId="2F0C5A3C" w14:textId="77777777" w:rsidR="001550B9" w:rsidRPr="00B00802" w:rsidRDefault="001550B9" w:rsidP="00D75E1C">
      <w:pPr>
        <w:spacing w:after="0"/>
        <w:jc w:val="both"/>
        <w:rPr>
          <w:rFonts w:cstheme="minorHAnsi"/>
        </w:rPr>
      </w:pPr>
    </w:p>
    <w:p w14:paraId="034F7574" w14:textId="7FDA1688" w:rsidR="00D75E1C" w:rsidRPr="00B00802" w:rsidRDefault="00D75E1C" w:rsidP="00D75E1C">
      <w:pPr>
        <w:spacing w:after="0"/>
        <w:jc w:val="center"/>
        <w:rPr>
          <w:rFonts w:cstheme="minorHAnsi"/>
        </w:rPr>
      </w:pPr>
      <w:r w:rsidRPr="00B00802">
        <w:rPr>
          <w:rFonts w:cstheme="minorHAnsi"/>
        </w:rPr>
        <w:t xml:space="preserve">Bilješka </w:t>
      </w:r>
      <w:r w:rsidR="004A7A6F" w:rsidRPr="00B00802">
        <w:rPr>
          <w:rFonts w:cstheme="minorHAnsi"/>
        </w:rPr>
        <w:t>8</w:t>
      </w:r>
      <w:r w:rsidRPr="00B00802">
        <w:rPr>
          <w:rFonts w:cstheme="minorHAnsi"/>
        </w:rPr>
        <w:t>.</w:t>
      </w:r>
    </w:p>
    <w:p w14:paraId="1A599F63" w14:textId="77777777" w:rsidR="00D75E1C" w:rsidRPr="00B00802" w:rsidRDefault="00D75E1C" w:rsidP="00D75E1C">
      <w:pPr>
        <w:spacing w:after="0"/>
        <w:jc w:val="center"/>
        <w:rPr>
          <w:rFonts w:cstheme="minorHAnsi"/>
        </w:rPr>
      </w:pPr>
      <w:r w:rsidRPr="00B00802">
        <w:rPr>
          <w:rFonts w:cstheme="minorHAnsi"/>
        </w:rPr>
        <w:t>AOP 002 – Nefinancijska imovina</w:t>
      </w:r>
    </w:p>
    <w:p w14:paraId="7B444DF0" w14:textId="485B6A5A" w:rsidR="00D75E1C" w:rsidRPr="00B00802" w:rsidRDefault="007F530D" w:rsidP="00D75E1C">
      <w:pPr>
        <w:spacing w:after="0"/>
        <w:jc w:val="both"/>
        <w:rPr>
          <w:rFonts w:cstheme="minorHAnsi"/>
        </w:rPr>
      </w:pPr>
      <w:r w:rsidRPr="00B00802">
        <w:rPr>
          <w:rFonts w:cstheme="minorHAnsi"/>
        </w:rPr>
        <w:t>Ispravak vrijednosti proizvedene dugotrajne nefinancijske imovine izvršen je linearnom metodom po propisanim stopama ispravka vrijednosti dugotrajne imovine</w:t>
      </w:r>
      <w:r w:rsidR="00C45429" w:rsidRPr="00B00802">
        <w:rPr>
          <w:rFonts w:cstheme="minorHAnsi"/>
        </w:rPr>
        <w:t>, te u 2020. godini iznosi 27.725 kuna</w:t>
      </w:r>
      <w:r w:rsidRPr="00B00802">
        <w:rPr>
          <w:rFonts w:cstheme="minorHAnsi"/>
        </w:rPr>
        <w:t xml:space="preserve">. </w:t>
      </w:r>
      <w:r w:rsidR="00D75E1C" w:rsidRPr="00B00802">
        <w:rPr>
          <w:rFonts w:cstheme="minorHAnsi"/>
        </w:rPr>
        <w:t>Osim nabavke knjižne građe u iznosu od 2</w:t>
      </w:r>
      <w:r w:rsidR="004A7A6F" w:rsidRPr="00B00802">
        <w:rPr>
          <w:rFonts w:cstheme="minorHAnsi"/>
        </w:rPr>
        <w:t>5.922,39</w:t>
      </w:r>
      <w:r w:rsidR="00D75E1C" w:rsidRPr="00B00802">
        <w:rPr>
          <w:rFonts w:cstheme="minorHAnsi"/>
        </w:rPr>
        <w:t xml:space="preserve"> kun</w:t>
      </w:r>
      <w:r w:rsidR="004A7A6F" w:rsidRPr="00B00802">
        <w:rPr>
          <w:rFonts w:cstheme="minorHAnsi"/>
        </w:rPr>
        <w:t>a</w:t>
      </w:r>
      <w:r w:rsidR="00D75E1C" w:rsidRPr="00B00802">
        <w:rPr>
          <w:rFonts w:cstheme="minorHAnsi"/>
        </w:rPr>
        <w:t xml:space="preserve"> koja je financirana od nadležnog ministarstva</w:t>
      </w:r>
      <w:r w:rsidR="004A7A6F" w:rsidRPr="00B00802">
        <w:rPr>
          <w:rFonts w:cstheme="minorHAnsi"/>
        </w:rPr>
        <w:t>,</w:t>
      </w:r>
      <w:r w:rsidR="00D75E1C" w:rsidRPr="00B00802">
        <w:rPr>
          <w:rFonts w:cstheme="minorHAnsi"/>
        </w:rPr>
        <w:t xml:space="preserve">  nije bilo nabave druge dugotrajne imovine, pa je sadašnja vrijednost</w:t>
      </w:r>
      <w:r w:rsidR="00C45429" w:rsidRPr="00B00802">
        <w:rPr>
          <w:rFonts w:cstheme="minorHAnsi"/>
        </w:rPr>
        <w:t xml:space="preserve"> nefinancijske</w:t>
      </w:r>
      <w:r w:rsidR="00D75E1C" w:rsidRPr="00B00802">
        <w:rPr>
          <w:rFonts w:cstheme="minorHAnsi"/>
        </w:rPr>
        <w:t xml:space="preserve"> imovine na kraju izvještajnog razdoblja za 2</w:t>
      </w:r>
      <w:r w:rsidR="004A7A6F" w:rsidRPr="00B00802">
        <w:rPr>
          <w:rFonts w:cstheme="minorHAnsi"/>
        </w:rPr>
        <w:t>,5</w:t>
      </w:r>
      <w:r w:rsidR="00D75E1C" w:rsidRPr="00B00802">
        <w:rPr>
          <w:rFonts w:cstheme="minorHAnsi"/>
        </w:rPr>
        <w:t xml:space="preserve">% manja nego na početku izvještajnog razdoblja. </w:t>
      </w:r>
    </w:p>
    <w:p w14:paraId="066EF125" w14:textId="77777777" w:rsidR="00D75E1C" w:rsidRPr="00B00802" w:rsidRDefault="00D75E1C" w:rsidP="00D75E1C">
      <w:pPr>
        <w:spacing w:after="0"/>
        <w:jc w:val="both"/>
        <w:rPr>
          <w:rFonts w:cstheme="minorHAnsi"/>
          <w:b/>
        </w:rPr>
      </w:pPr>
    </w:p>
    <w:p w14:paraId="6925BCC8" w14:textId="7CFE09C3" w:rsidR="00D75E1C" w:rsidRPr="00B00802" w:rsidRDefault="00D75E1C" w:rsidP="00D75E1C">
      <w:pPr>
        <w:spacing w:after="0"/>
        <w:jc w:val="center"/>
        <w:rPr>
          <w:rFonts w:cstheme="minorHAnsi"/>
        </w:rPr>
      </w:pPr>
      <w:r w:rsidRPr="00B00802">
        <w:rPr>
          <w:rFonts w:cstheme="minorHAnsi"/>
        </w:rPr>
        <w:t xml:space="preserve">Bilješka </w:t>
      </w:r>
      <w:r w:rsidR="004A7A6F" w:rsidRPr="00B00802">
        <w:rPr>
          <w:rFonts w:cstheme="minorHAnsi"/>
        </w:rPr>
        <w:t>9</w:t>
      </w:r>
      <w:r w:rsidRPr="00B00802">
        <w:rPr>
          <w:rFonts w:cstheme="minorHAnsi"/>
        </w:rPr>
        <w:t>.</w:t>
      </w:r>
    </w:p>
    <w:p w14:paraId="67C8222A" w14:textId="77777777" w:rsidR="00D75E1C" w:rsidRPr="00B00802" w:rsidRDefault="00D75E1C" w:rsidP="00D75E1C">
      <w:pPr>
        <w:spacing w:after="0"/>
        <w:jc w:val="center"/>
        <w:rPr>
          <w:rFonts w:cstheme="minorHAnsi"/>
        </w:rPr>
      </w:pPr>
      <w:r w:rsidRPr="00B00802">
        <w:rPr>
          <w:rFonts w:cstheme="minorHAnsi"/>
        </w:rPr>
        <w:t>AOP 064 – Novac u banci i blagajni</w:t>
      </w:r>
    </w:p>
    <w:p w14:paraId="03D3997A" w14:textId="67679F45" w:rsidR="00D75E1C" w:rsidRPr="00B00802" w:rsidRDefault="00D75E1C" w:rsidP="00D75E1C">
      <w:pPr>
        <w:spacing w:after="0"/>
        <w:jc w:val="both"/>
        <w:rPr>
          <w:rFonts w:cstheme="minorHAnsi"/>
        </w:rPr>
      </w:pPr>
      <w:r w:rsidRPr="00B00802">
        <w:rPr>
          <w:rFonts w:cstheme="minorHAnsi"/>
        </w:rPr>
        <w:t>Stanje novčanih sredstava na dan 31.12.20</w:t>
      </w:r>
      <w:r w:rsidR="00C45429" w:rsidRPr="00B00802">
        <w:rPr>
          <w:rFonts w:cstheme="minorHAnsi"/>
        </w:rPr>
        <w:t>20</w:t>
      </w:r>
      <w:r w:rsidRPr="00B00802">
        <w:rPr>
          <w:rFonts w:cstheme="minorHAnsi"/>
        </w:rPr>
        <w:t xml:space="preserve">. godine iskazano na ovom AOP-u odnosi se na: </w:t>
      </w:r>
    </w:p>
    <w:p w14:paraId="67B3863B" w14:textId="1F09BF63" w:rsidR="00D75E1C" w:rsidRPr="00B00802" w:rsidRDefault="00D75E1C" w:rsidP="00D75E1C">
      <w:pPr>
        <w:spacing w:after="0"/>
        <w:ind w:firstLine="708"/>
        <w:jc w:val="both"/>
        <w:rPr>
          <w:rFonts w:cstheme="minorHAnsi"/>
        </w:rPr>
      </w:pPr>
      <w:r w:rsidRPr="00B00802">
        <w:rPr>
          <w:rFonts w:cstheme="minorHAnsi"/>
        </w:rPr>
        <w:t>Novac u OTP banci</w:t>
      </w:r>
      <w:r w:rsidRPr="00B00802">
        <w:rPr>
          <w:rFonts w:cstheme="minorHAnsi"/>
        </w:rPr>
        <w:tab/>
        <w:t>IBAN:0324070001100123947</w:t>
      </w:r>
      <w:r w:rsidRPr="00B00802">
        <w:rPr>
          <w:rFonts w:cstheme="minorHAnsi"/>
        </w:rPr>
        <w:tab/>
      </w:r>
      <w:r w:rsidRPr="00B00802">
        <w:rPr>
          <w:rFonts w:cstheme="minorHAnsi"/>
        </w:rPr>
        <w:tab/>
        <w:t>4.</w:t>
      </w:r>
      <w:r w:rsidR="00C45429" w:rsidRPr="00B00802">
        <w:rPr>
          <w:rFonts w:cstheme="minorHAnsi"/>
        </w:rPr>
        <w:t>035</w:t>
      </w:r>
      <w:r w:rsidRPr="00B00802">
        <w:rPr>
          <w:rFonts w:cstheme="minorHAnsi"/>
        </w:rPr>
        <w:t xml:space="preserve"> kuna</w:t>
      </w:r>
    </w:p>
    <w:p w14:paraId="6D316604" w14:textId="6F0E60E4" w:rsidR="00D75E1C" w:rsidRPr="00B00802" w:rsidRDefault="00D75E1C" w:rsidP="00D75E1C">
      <w:pPr>
        <w:spacing w:after="0"/>
        <w:ind w:firstLine="708"/>
        <w:jc w:val="both"/>
        <w:rPr>
          <w:rFonts w:cstheme="minorHAnsi"/>
        </w:rPr>
      </w:pPr>
      <w:r w:rsidRPr="00B00802">
        <w:rPr>
          <w:rFonts w:cstheme="minorHAnsi"/>
        </w:rPr>
        <w:lastRenderedPageBreak/>
        <w:t>Novac u blagajni</w:t>
      </w:r>
      <w:r w:rsidRPr="00B00802">
        <w:rPr>
          <w:rFonts w:cstheme="minorHAnsi"/>
        </w:rPr>
        <w:tab/>
      </w:r>
      <w:r w:rsidRPr="00B00802">
        <w:rPr>
          <w:rFonts w:cstheme="minorHAnsi"/>
        </w:rPr>
        <w:tab/>
      </w:r>
      <w:r w:rsidRPr="00B00802">
        <w:rPr>
          <w:rFonts w:cstheme="minorHAnsi"/>
        </w:rPr>
        <w:tab/>
      </w:r>
      <w:r w:rsidRPr="00B00802">
        <w:rPr>
          <w:rFonts w:cstheme="minorHAnsi"/>
        </w:rPr>
        <w:tab/>
      </w:r>
      <w:r w:rsidRPr="00B00802">
        <w:rPr>
          <w:rFonts w:cstheme="minorHAnsi"/>
        </w:rPr>
        <w:tab/>
      </w:r>
      <w:r w:rsidRPr="00B00802">
        <w:rPr>
          <w:rFonts w:cstheme="minorHAnsi"/>
        </w:rPr>
        <w:tab/>
        <w:t>3.</w:t>
      </w:r>
      <w:r w:rsidR="00C45429" w:rsidRPr="00B00802">
        <w:rPr>
          <w:rFonts w:cstheme="minorHAnsi"/>
        </w:rPr>
        <w:t>914</w:t>
      </w:r>
      <w:r w:rsidRPr="00B00802">
        <w:rPr>
          <w:rFonts w:cstheme="minorHAnsi"/>
        </w:rPr>
        <w:t xml:space="preserve"> kuna</w:t>
      </w:r>
    </w:p>
    <w:p w14:paraId="4AA6EE32" w14:textId="51F533B9" w:rsidR="00172899" w:rsidRPr="00B00802" w:rsidRDefault="00D75E1C" w:rsidP="00172899">
      <w:pPr>
        <w:spacing w:after="0"/>
        <w:jc w:val="both"/>
        <w:rPr>
          <w:rFonts w:cstheme="minorHAnsi"/>
        </w:rPr>
      </w:pPr>
      <w:r w:rsidRPr="00B00802">
        <w:rPr>
          <w:rFonts w:cstheme="minorHAnsi"/>
        </w:rPr>
        <w:t>Novac u banci i blagajni čini cijelu financijsku imovinu</w:t>
      </w:r>
      <w:r w:rsidR="00C45429" w:rsidRPr="00B00802">
        <w:rPr>
          <w:rFonts w:cstheme="minorHAnsi"/>
        </w:rPr>
        <w:t>, odnosno nema nenaplaćenih potraživanja.</w:t>
      </w:r>
      <w:r w:rsidR="009A784F">
        <w:rPr>
          <w:rFonts w:cstheme="minorHAnsi"/>
        </w:rPr>
        <w:t xml:space="preserve"> </w:t>
      </w:r>
      <w:r w:rsidR="000A1B6C" w:rsidRPr="00B00802">
        <w:rPr>
          <w:rFonts w:cstheme="minorHAnsi"/>
        </w:rPr>
        <w:t>S</w:t>
      </w:r>
      <w:r w:rsidR="00172899" w:rsidRPr="00B00802">
        <w:rPr>
          <w:rFonts w:cstheme="minorHAnsi"/>
        </w:rPr>
        <w:t>ukladno članku 37.a Pravilnika o izmjenama i dopunama Pravilnika o proračunskom računovodstvu i računskom planu (NN 3/2018-116) nije proveden ispravak vrijednosti potraživanja</w:t>
      </w:r>
      <w:r w:rsidR="000A1B6C" w:rsidRPr="00B00802">
        <w:rPr>
          <w:rFonts w:cstheme="minorHAnsi"/>
        </w:rPr>
        <w:t xml:space="preserve"> </w:t>
      </w:r>
      <w:r w:rsidR="00172899" w:rsidRPr="00B00802">
        <w:rPr>
          <w:rFonts w:cstheme="minorHAnsi"/>
        </w:rPr>
        <w:t xml:space="preserve">jer nema kašnjenja u naplati preko godine dana, kao ni pokretanja stečajnog postupka ili likvidacijskog postupka nad dužnicima. </w:t>
      </w:r>
    </w:p>
    <w:p w14:paraId="72368BF5" w14:textId="1CE88F3B" w:rsidR="00172899" w:rsidRPr="00B00802" w:rsidRDefault="00172899" w:rsidP="00D75E1C">
      <w:pPr>
        <w:spacing w:after="0"/>
        <w:jc w:val="both"/>
        <w:rPr>
          <w:rFonts w:cstheme="minorHAnsi"/>
        </w:rPr>
      </w:pPr>
      <w:r w:rsidRPr="00B00802">
        <w:rPr>
          <w:rFonts w:cstheme="minorHAnsi"/>
        </w:rPr>
        <w:t>Knjigovodstvena evidencija Porezne uprave za plaćene poreze i doprinose je usklađena sa evidencijom glavne knjige knjižnice na dan 31.12.2020. godine, te nisu utvrđene nikakve razlike.</w:t>
      </w:r>
    </w:p>
    <w:p w14:paraId="3CEA42FF" w14:textId="67E55C06" w:rsidR="00D75E1C" w:rsidRPr="00B00802" w:rsidRDefault="00D75E1C" w:rsidP="00D75E1C">
      <w:pPr>
        <w:spacing w:after="0"/>
        <w:jc w:val="both"/>
        <w:rPr>
          <w:rFonts w:cstheme="minorHAnsi"/>
        </w:rPr>
      </w:pPr>
    </w:p>
    <w:p w14:paraId="0218FA38" w14:textId="5EE89D62" w:rsidR="00D75E1C" w:rsidRPr="00B00802" w:rsidRDefault="00D75E1C" w:rsidP="00D75E1C">
      <w:pPr>
        <w:spacing w:after="0"/>
        <w:jc w:val="center"/>
        <w:rPr>
          <w:rFonts w:cstheme="minorHAnsi"/>
        </w:rPr>
      </w:pPr>
      <w:r w:rsidRPr="00B00802">
        <w:rPr>
          <w:rFonts w:cstheme="minorHAnsi"/>
        </w:rPr>
        <w:t>Bilješka 1</w:t>
      </w:r>
      <w:r w:rsidR="008820C9">
        <w:rPr>
          <w:rFonts w:cstheme="minorHAnsi"/>
        </w:rPr>
        <w:t>0</w:t>
      </w:r>
      <w:r w:rsidRPr="00B00802">
        <w:rPr>
          <w:rFonts w:cstheme="minorHAnsi"/>
        </w:rPr>
        <w:t>.</w:t>
      </w:r>
    </w:p>
    <w:p w14:paraId="1343F80F" w14:textId="1B470FD6" w:rsidR="00D75E1C" w:rsidRPr="00B00802" w:rsidRDefault="00D75E1C" w:rsidP="00D75E1C">
      <w:pPr>
        <w:spacing w:after="0"/>
        <w:jc w:val="center"/>
        <w:rPr>
          <w:rFonts w:cstheme="minorHAnsi"/>
        </w:rPr>
      </w:pPr>
      <w:r w:rsidRPr="00B00802">
        <w:rPr>
          <w:rFonts w:cstheme="minorHAnsi"/>
        </w:rPr>
        <w:t>AOP 16</w:t>
      </w:r>
      <w:r w:rsidR="00067C4F" w:rsidRPr="00B00802">
        <w:rPr>
          <w:rFonts w:cstheme="minorHAnsi"/>
        </w:rPr>
        <w:t>9</w:t>
      </w:r>
      <w:r w:rsidRPr="00B00802">
        <w:rPr>
          <w:rFonts w:cstheme="minorHAnsi"/>
        </w:rPr>
        <w:t xml:space="preserve"> – Obveze </w:t>
      </w:r>
    </w:p>
    <w:p w14:paraId="62527276" w14:textId="515A225A" w:rsidR="0047248A" w:rsidRPr="00B00802" w:rsidRDefault="00D75E1C" w:rsidP="00D75E1C">
      <w:pPr>
        <w:spacing w:after="0"/>
        <w:jc w:val="both"/>
        <w:rPr>
          <w:rFonts w:cstheme="minorHAnsi"/>
        </w:rPr>
      </w:pPr>
      <w:r w:rsidRPr="00B00802">
        <w:rPr>
          <w:rFonts w:cstheme="minorHAnsi"/>
        </w:rPr>
        <w:t xml:space="preserve">Ukupne obveze iznose </w:t>
      </w:r>
      <w:r w:rsidR="00067C4F" w:rsidRPr="00B00802">
        <w:rPr>
          <w:rFonts w:cstheme="minorHAnsi"/>
        </w:rPr>
        <w:t>24</w:t>
      </w:r>
      <w:r w:rsidRPr="00B00802">
        <w:rPr>
          <w:rFonts w:cstheme="minorHAnsi"/>
        </w:rPr>
        <w:t>.</w:t>
      </w:r>
      <w:r w:rsidR="00067C4F" w:rsidRPr="00B00802">
        <w:rPr>
          <w:rFonts w:cstheme="minorHAnsi"/>
        </w:rPr>
        <w:t>735</w:t>
      </w:r>
      <w:r w:rsidRPr="00B00802">
        <w:rPr>
          <w:rFonts w:cstheme="minorHAnsi"/>
        </w:rPr>
        <w:t xml:space="preserve"> kuna i za </w:t>
      </w:r>
      <w:r w:rsidR="00067C4F" w:rsidRPr="00B00802">
        <w:rPr>
          <w:rFonts w:cstheme="minorHAnsi"/>
        </w:rPr>
        <w:t>108</w:t>
      </w:r>
      <w:r w:rsidRPr="00B00802">
        <w:rPr>
          <w:rFonts w:cstheme="minorHAnsi"/>
        </w:rPr>
        <w:t xml:space="preserve">% su </w:t>
      </w:r>
      <w:r w:rsidR="00067C4F" w:rsidRPr="00B00802">
        <w:rPr>
          <w:rFonts w:cstheme="minorHAnsi"/>
        </w:rPr>
        <w:t>uvećane</w:t>
      </w:r>
      <w:r w:rsidRPr="00B00802">
        <w:rPr>
          <w:rFonts w:cstheme="minorHAnsi"/>
        </w:rPr>
        <w:t xml:space="preserve"> u odnosu na proteklu godinu. </w:t>
      </w:r>
      <w:r w:rsidR="00067C4F" w:rsidRPr="00B00802">
        <w:rPr>
          <w:rFonts w:cstheme="minorHAnsi"/>
        </w:rPr>
        <w:t>Zbog zapošljavanja nove djelatnice 73</w:t>
      </w:r>
      <w:r w:rsidRPr="00B00802">
        <w:rPr>
          <w:rFonts w:cstheme="minorHAnsi"/>
        </w:rPr>
        <w:t xml:space="preserve">% obveza čine obveze za zaposlene, </w:t>
      </w:r>
      <w:r w:rsidR="00067C4F" w:rsidRPr="00B00802">
        <w:rPr>
          <w:rFonts w:cstheme="minorHAnsi"/>
        </w:rPr>
        <w:t>2,5</w:t>
      </w:r>
      <w:r w:rsidRPr="00B00802">
        <w:rPr>
          <w:rFonts w:cstheme="minorHAnsi"/>
        </w:rPr>
        <w:t xml:space="preserve">% ukupnih obveza čine obveze za materijalne rashode, a </w:t>
      </w:r>
      <w:r w:rsidR="00067C4F" w:rsidRPr="00B00802">
        <w:rPr>
          <w:rFonts w:cstheme="minorHAnsi"/>
        </w:rPr>
        <w:t>0,5</w:t>
      </w:r>
      <w:r w:rsidRPr="00B00802">
        <w:rPr>
          <w:rFonts w:cstheme="minorHAnsi"/>
        </w:rPr>
        <w:t>% se odnosi  na obvezu za ostale financijske rashode. Sve obveze</w:t>
      </w:r>
      <w:r w:rsidR="0047248A" w:rsidRPr="00B00802">
        <w:rPr>
          <w:rFonts w:cstheme="minorHAnsi"/>
        </w:rPr>
        <w:t xml:space="preserve"> za rashode poslovanja</w:t>
      </w:r>
      <w:r w:rsidRPr="00B00802">
        <w:rPr>
          <w:rFonts w:cstheme="minorHAnsi"/>
        </w:rPr>
        <w:t xml:space="preserve"> spadaju u nedospjele obveze. Redovito se podmiruju zahvaljujući uplatama osnivača, odnosno pravovremenim financiranjem rashoda poslovanja, te su sve podmirene do dana predaje ovih izvještaja.</w:t>
      </w:r>
      <w:r w:rsidR="0047248A" w:rsidRPr="00B00802">
        <w:rPr>
          <w:rFonts w:cstheme="minorHAnsi"/>
        </w:rPr>
        <w:t xml:space="preserve"> </w:t>
      </w:r>
    </w:p>
    <w:p w14:paraId="31901664" w14:textId="45BDE354" w:rsidR="00D75E1C" w:rsidRPr="00B00802" w:rsidRDefault="0047248A" w:rsidP="00D75E1C">
      <w:pPr>
        <w:spacing w:after="0"/>
        <w:jc w:val="both"/>
        <w:rPr>
          <w:rFonts w:cstheme="minorHAnsi"/>
        </w:rPr>
      </w:pPr>
      <w:r w:rsidRPr="00B00802">
        <w:rPr>
          <w:rFonts w:cstheme="minorHAnsi"/>
        </w:rPr>
        <w:t>Obveze za nabavu nefinancijske imovine čine preostalih  24% ukupnih obveza, spadaju u prekoračenje plaćanja do 60 dana</w:t>
      </w:r>
      <w:r w:rsidR="008820C9">
        <w:rPr>
          <w:rFonts w:cstheme="minorHAnsi"/>
        </w:rPr>
        <w:t>.</w:t>
      </w:r>
    </w:p>
    <w:p w14:paraId="7FB7DAFB" w14:textId="77777777" w:rsidR="00D75E1C" w:rsidRPr="00B00802" w:rsidRDefault="00D75E1C" w:rsidP="00D75E1C">
      <w:pPr>
        <w:spacing w:after="0"/>
        <w:jc w:val="both"/>
        <w:rPr>
          <w:rFonts w:cstheme="minorHAnsi"/>
        </w:rPr>
      </w:pPr>
    </w:p>
    <w:p w14:paraId="4B58DB86" w14:textId="713CA579" w:rsidR="00D75E1C" w:rsidRPr="00B00802" w:rsidRDefault="00D75E1C" w:rsidP="00D75E1C">
      <w:pPr>
        <w:spacing w:after="0"/>
        <w:jc w:val="center"/>
        <w:rPr>
          <w:rFonts w:cstheme="minorHAnsi"/>
        </w:rPr>
      </w:pPr>
      <w:r w:rsidRPr="00B00802">
        <w:rPr>
          <w:rFonts w:cstheme="minorHAnsi"/>
        </w:rPr>
        <w:t>Bilješka 1</w:t>
      </w:r>
      <w:r w:rsidR="008820C9">
        <w:rPr>
          <w:rFonts w:cstheme="minorHAnsi"/>
        </w:rPr>
        <w:t>1</w:t>
      </w:r>
      <w:r w:rsidRPr="00B00802">
        <w:rPr>
          <w:rFonts w:cstheme="minorHAnsi"/>
        </w:rPr>
        <w:t>.</w:t>
      </w:r>
    </w:p>
    <w:p w14:paraId="2AEA85C3" w14:textId="2FCCE8C8" w:rsidR="00D75E1C" w:rsidRPr="00B00802" w:rsidRDefault="00D75E1C" w:rsidP="00D75E1C">
      <w:pPr>
        <w:spacing w:after="0"/>
        <w:jc w:val="center"/>
        <w:rPr>
          <w:rFonts w:cstheme="minorHAnsi"/>
        </w:rPr>
      </w:pPr>
      <w:r w:rsidRPr="00B00802">
        <w:rPr>
          <w:rFonts w:cstheme="minorHAnsi"/>
        </w:rPr>
        <w:t>AOP 2</w:t>
      </w:r>
      <w:r w:rsidR="005D1395" w:rsidRPr="00B00802">
        <w:rPr>
          <w:rFonts w:cstheme="minorHAnsi"/>
        </w:rPr>
        <w:t>42</w:t>
      </w:r>
      <w:r w:rsidRPr="00B00802">
        <w:rPr>
          <w:rFonts w:cstheme="minorHAnsi"/>
        </w:rPr>
        <w:t xml:space="preserve"> – Manjak prihoda</w:t>
      </w:r>
    </w:p>
    <w:p w14:paraId="632214CD" w14:textId="5AA51489" w:rsidR="00A75654" w:rsidRPr="00B00802" w:rsidRDefault="00D75E1C" w:rsidP="00D75E1C">
      <w:pPr>
        <w:spacing w:after="0"/>
        <w:jc w:val="both"/>
        <w:rPr>
          <w:rFonts w:cstheme="minorHAnsi"/>
        </w:rPr>
      </w:pPr>
      <w:r w:rsidRPr="00B00802">
        <w:rPr>
          <w:rFonts w:cstheme="minorHAnsi"/>
        </w:rPr>
        <w:t>U 20</w:t>
      </w:r>
      <w:r w:rsidR="00A75654" w:rsidRPr="00B00802">
        <w:rPr>
          <w:rFonts w:cstheme="minorHAnsi"/>
        </w:rPr>
        <w:t>20</w:t>
      </w:r>
      <w:r w:rsidRPr="00B00802">
        <w:rPr>
          <w:rFonts w:cstheme="minorHAnsi"/>
        </w:rPr>
        <w:t xml:space="preserve">. godini ostvaren je višak prihoda poslovanja u iznosu od </w:t>
      </w:r>
      <w:r w:rsidR="00A75654" w:rsidRPr="00B00802">
        <w:rPr>
          <w:rFonts w:cstheme="minorHAnsi"/>
        </w:rPr>
        <w:t>12.955,62</w:t>
      </w:r>
      <w:r w:rsidRPr="00B00802">
        <w:rPr>
          <w:rFonts w:cstheme="minorHAnsi"/>
        </w:rPr>
        <w:t xml:space="preserve"> kune i manjak prihoda od nefinancijske imovine u iznosu od 2</w:t>
      </w:r>
      <w:r w:rsidR="00A75654" w:rsidRPr="00B00802">
        <w:rPr>
          <w:rFonts w:cstheme="minorHAnsi"/>
        </w:rPr>
        <w:t>5</w:t>
      </w:r>
      <w:r w:rsidRPr="00B00802">
        <w:rPr>
          <w:rFonts w:cstheme="minorHAnsi"/>
        </w:rPr>
        <w:t>.</w:t>
      </w:r>
      <w:r w:rsidR="00A75654" w:rsidRPr="00B00802">
        <w:rPr>
          <w:rFonts w:cstheme="minorHAnsi"/>
        </w:rPr>
        <w:t>922,39</w:t>
      </w:r>
      <w:r w:rsidRPr="00B00802">
        <w:rPr>
          <w:rFonts w:cstheme="minorHAnsi"/>
        </w:rPr>
        <w:t xml:space="preserve"> kun</w:t>
      </w:r>
      <w:r w:rsidR="00A75654" w:rsidRPr="00B00802">
        <w:rPr>
          <w:rFonts w:cstheme="minorHAnsi"/>
        </w:rPr>
        <w:t>a</w:t>
      </w:r>
      <w:r w:rsidR="004A6DAA" w:rsidRPr="00B00802">
        <w:rPr>
          <w:rFonts w:cstheme="minorHAnsi"/>
        </w:rPr>
        <w:t>. Uz preneseni manjak poslovanja od nefinancijske imovine u iznosu od 3.819,83 kune</w:t>
      </w:r>
      <w:r w:rsidR="00325BD6" w:rsidRPr="00B00802">
        <w:rPr>
          <w:rFonts w:cstheme="minorHAnsi"/>
        </w:rPr>
        <w:t xml:space="preserve">, dobiven nakon evidentirane Odluke o rasporedu rezultata iz 2019. godine, rezultat prije izvršene korekcije iznosi  12.955,62 kune viška prihoda poslovanja i </w:t>
      </w:r>
      <w:r w:rsidR="008820C9">
        <w:rPr>
          <w:rFonts w:cstheme="minorHAnsi"/>
        </w:rPr>
        <w:t>29.742,22</w:t>
      </w:r>
      <w:r w:rsidR="00325BD6" w:rsidRPr="00B00802">
        <w:rPr>
          <w:rFonts w:cstheme="minorHAnsi"/>
        </w:rPr>
        <w:t xml:space="preserve"> kun</w:t>
      </w:r>
      <w:r w:rsidR="008820C9">
        <w:rPr>
          <w:rFonts w:cstheme="minorHAnsi"/>
        </w:rPr>
        <w:t>e</w:t>
      </w:r>
      <w:r w:rsidR="00325BD6" w:rsidRPr="00B00802">
        <w:rPr>
          <w:rFonts w:cstheme="minorHAnsi"/>
        </w:rPr>
        <w:t xml:space="preserve"> manjka prihoda od nefinancijske imovine.</w:t>
      </w:r>
    </w:p>
    <w:p w14:paraId="66824184" w14:textId="77777777" w:rsidR="00325BD6" w:rsidRPr="00B00802" w:rsidRDefault="00325BD6" w:rsidP="00D75E1C">
      <w:pPr>
        <w:spacing w:after="0"/>
        <w:jc w:val="both"/>
        <w:rPr>
          <w:rFonts w:cstheme="minorHAnsi"/>
        </w:rPr>
      </w:pPr>
    </w:p>
    <w:p w14:paraId="5FF2C0A2" w14:textId="7F718389" w:rsidR="00A75654" w:rsidRPr="00B00802" w:rsidRDefault="00A75654" w:rsidP="00D75E1C">
      <w:pPr>
        <w:spacing w:after="0"/>
        <w:jc w:val="both"/>
        <w:rPr>
          <w:rFonts w:cstheme="minorHAnsi"/>
        </w:rPr>
      </w:pPr>
      <w:r w:rsidRPr="00B00802">
        <w:rPr>
          <w:rFonts w:cstheme="minorHAnsi"/>
        </w:rPr>
        <w:t>Temeljem članka 82. Pravilnika o proračunskom računovodstvu i računskom planu provedena je  korekcija utvrđenog rezultata za iznos</w:t>
      </w:r>
      <w:r w:rsidR="00325BD6" w:rsidRPr="00B00802">
        <w:rPr>
          <w:rFonts w:cstheme="minorHAnsi"/>
        </w:rPr>
        <w:t xml:space="preserve"> od 20.000,00 kuna </w:t>
      </w:r>
      <w:r w:rsidRPr="00B00802">
        <w:rPr>
          <w:rFonts w:cstheme="minorHAnsi"/>
        </w:rPr>
        <w:t>kapitalnih prijenosa ostvarenih tijekom proračunske godine, evidentiranih na računu 6332-</w:t>
      </w:r>
      <w:r w:rsidRPr="00B00802">
        <w:rPr>
          <w:rFonts w:cstheme="minorHAnsi"/>
          <w:i/>
          <w:iCs/>
        </w:rPr>
        <w:t xml:space="preserve">Kapitalne pomoći proračunu iz </w:t>
      </w:r>
      <w:r w:rsidR="004A6DAA" w:rsidRPr="00B00802">
        <w:rPr>
          <w:rFonts w:cstheme="minorHAnsi"/>
          <w:i/>
          <w:iCs/>
        </w:rPr>
        <w:t>drugih</w:t>
      </w:r>
      <w:r w:rsidRPr="00B00802">
        <w:rPr>
          <w:rFonts w:cstheme="minorHAnsi"/>
          <w:i/>
          <w:iCs/>
        </w:rPr>
        <w:t xml:space="preserve"> proračuna</w:t>
      </w:r>
      <w:r w:rsidR="00325BD6" w:rsidRPr="00B00802">
        <w:rPr>
          <w:rFonts w:cstheme="minorHAnsi"/>
          <w:i/>
          <w:iCs/>
        </w:rPr>
        <w:t xml:space="preserve">, </w:t>
      </w:r>
      <w:r w:rsidRPr="00B00802">
        <w:rPr>
          <w:rFonts w:cstheme="minorHAnsi"/>
          <w:i/>
          <w:iCs/>
        </w:rPr>
        <w:t xml:space="preserve"> </w:t>
      </w:r>
      <w:r w:rsidRPr="00B00802">
        <w:rPr>
          <w:rFonts w:cstheme="minorHAnsi"/>
        </w:rPr>
        <w:t xml:space="preserve">namijenjenih </w:t>
      </w:r>
      <w:r w:rsidR="00325BD6" w:rsidRPr="00B00802">
        <w:rPr>
          <w:rFonts w:cstheme="minorHAnsi"/>
        </w:rPr>
        <w:t xml:space="preserve">i </w:t>
      </w:r>
      <w:r w:rsidR="00B67701">
        <w:rPr>
          <w:rFonts w:cstheme="minorHAnsi"/>
        </w:rPr>
        <w:t xml:space="preserve">u cijelosti </w:t>
      </w:r>
      <w:r w:rsidR="00325BD6" w:rsidRPr="00B00802">
        <w:rPr>
          <w:rFonts w:cstheme="minorHAnsi"/>
        </w:rPr>
        <w:t xml:space="preserve">utrošenih </w:t>
      </w:r>
      <w:r w:rsidRPr="00B00802">
        <w:rPr>
          <w:rFonts w:cstheme="minorHAnsi"/>
        </w:rPr>
        <w:t xml:space="preserve">za nabavu </w:t>
      </w:r>
      <w:r w:rsidR="00C52A3A" w:rsidRPr="00B00802">
        <w:rPr>
          <w:rFonts w:cstheme="minorHAnsi"/>
        </w:rPr>
        <w:t xml:space="preserve">nove </w:t>
      </w:r>
      <w:r w:rsidRPr="00B00802">
        <w:rPr>
          <w:rFonts w:cstheme="minorHAnsi"/>
        </w:rPr>
        <w:t xml:space="preserve">knjižne građe. </w:t>
      </w:r>
      <w:r w:rsidR="004A6DAA" w:rsidRPr="00B00802">
        <w:rPr>
          <w:rFonts w:cstheme="minorHAnsi"/>
        </w:rPr>
        <w:t>Zaduženjem računa viška prihoda poslovanja, a odobravanjem računa manjka prihoda od nefinancijske imovine</w:t>
      </w:r>
      <w:r w:rsidR="00C52A3A" w:rsidRPr="00B00802">
        <w:rPr>
          <w:rFonts w:cstheme="minorHAnsi"/>
        </w:rPr>
        <w:t>, konačni rezultat je evidentiran kao:</w:t>
      </w:r>
    </w:p>
    <w:p w14:paraId="31CB46ED" w14:textId="38B70886" w:rsidR="00C52A3A" w:rsidRPr="00B00802" w:rsidRDefault="00C52A3A" w:rsidP="00C52A3A">
      <w:pPr>
        <w:pStyle w:val="Odlomakpopisa"/>
        <w:numPr>
          <w:ilvl w:val="0"/>
          <w:numId w:val="2"/>
        </w:numPr>
        <w:jc w:val="both"/>
        <w:rPr>
          <w:rFonts w:asciiTheme="minorHAnsi" w:hAnsiTheme="minorHAnsi" w:cstheme="minorHAnsi"/>
          <w:i/>
          <w:iCs/>
          <w:sz w:val="22"/>
          <w:szCs w:val="22"/>
        </w:rPr>
      </w:pPr>
      <w:r w:rsidRPr="00B00802">
        <w:rPr>
          <w:rFonts w:asciiTheme="minorHAnsi" w:hAnsiTheme="minorHAnsi" w:cstheme="minorHAnsi"/>
          <w:i/>
          <w:iCs/>
          <w:sz w:val="22"/>
          <w:szCs w:val="22"/>
        </w:rPr>
        <w:t>7.044,38 kuna manja prihoda poslovanja i</w:t>
      </w:r>
    </w:p>
    <w:p w14:paraId="5E6CC112" w14:textId="779FE21C" w:rsidR="00C52A3A" w:rsidRPr="00B00802" w:rsidRDefault="00C52A3A" w:rsidP="00C52A3A">
      <w:pPr>
        <w:pStyle w:val="Odlomakpopisa"/>
        <w:numPr>
          <w:ilvl w:val="0"/>
          <w:numId w:val="2"/>
        </w:numPr>
        <w:jc w:val="both"/>
        <w:rPr>
          <w:rFonts w:asciiTheme="minorHAnsi" w:hAnsiTheme="minorHAnsi" w:cstheme="minorHAnsi"/>
          <w:i/>
          <w:iCs/>
          <w:sz w:val="22"/>
          <w:szCs w:val="22"/>
        </w:rPr>
      </w:pPr>
      <w:r w:rsidRPr="00B00802">
        <w:rPr>
          <w:rFonts w:asciiTheme="minorHAnsi" w:hAnsiTheme="minorHAnsi" w:cstheme="minorHAnsi"/>
          <w:i/>
          <w:iCs/>
          <w:sz w:val="22"/>
          <w:szCs w:val="22"/>
        </w:rPr>
        <w:t>9.742,22 kuna manjka prihoda od nefinancijske imovine.</w:t>
      </w:r>
    </w:p>
    <w:p w14:paraId="4B5F0634" w14:textId="778E040C" w:rsidR="00C52A3A" w:rsidRPr="00B00802" w:rsidRDefault="00C52A3A" w:rsidP="00C52A3A">
      <w:pPr>
        <w:jc w:val="both"/>
        <w:rPr>
          <w:rFonts w:cstheme="minorHAnsi"/>
          <w:b/>
          <w:bCs/>
          <w:i/>
          <w:iCs/>
        </w:rPr>
      </w:pPr>
      <w:r w:rsidRPr="00B00802">
        <w:rPr>
          <w:rFonts w:cstheme="minorHAnsi"/>
          <w:b/>
          <w:bCs/>
          <w:i/>
          <w:iCs/>
        </w:rPr>
        <w:t xml:space="preserve">Prikaz </w:t>
      </w:r>
      <w:r w:rsidR="005D1395" w:rsidRPr="00B00802">
        <w:rPr>
          <w:rFonts w:cstheme="minorHAnsi"/>
          <w:b/>
          <w:bCs/>
          <w:i/>
          <w:iCs/>
        </w:rPr>
        <w:t>rezultata poslovanja:</w:t>
      </w:r>
    </w:p>
    <w:tbl>
      <w:tblPr>
        <w:tblStyle w:val="Reetkatablice"/>
        <w:tblW w:w="0" w:type="auto"/>
        <w:tblLook w:val="04A0" w:firstRow="1" w:lastRow="0" w:firstColumn="1" w:lastColumn="0" w:noHBand="0" w:noVBand="1"/>
      </w:tblPr>
      <w:tblGrid>
        <w:gridCol w:w="4531"/>
        <w:gridCol w:w="1560"/>
        <w:gridCol w:w="1559"/>
        <w:gridCol w:w="1412"/>
      </w:tblGrid>
      <w:tr w:rsidR="00B00802" w:rsidRPr="00B00802" w14:paraId="5F0CFF6C" w14:textId="77777777" w:rsidTr="00341ACA">
        <w:tc>
          <w:tcPr>
            <w:tcW w:w="4531" w:type="dxa"/>
          </w:tcPr>
          <w:p w14:paraId="7AEADF78" w14:textId="77777777" w:rsidR="005D1395" w:rsidRPr="00B00802" w:rsidRDefault="005D1395" w:rsidP="00341ACA">
            <w:pPr>
              <w:jc w:val="center"/>
              <w:rPr>
                <w:rFonts w:cstheme="minorHAnsi"/>
                <w:b/>
                <w:bCs/>
              </w:rPr>
            </w:pPr>
          </w:p>
          <w:p w14:paraId="1F8BF86E" w14:textId="77777777" w:rsidR="005D1395" w:rsidRPr="00B00802" w:rsidRDefault="005D1395" w:rsidP="00341ACA">
            <w:pPr>
              <w:jc w:val="center"/>
              <w:rPr>
                <w:rFonts w:cstheme="minorHAnsi"/>
                <w:b/>
                <w:bCs/>
              </w:rPr>
            </w:pPr>
            <w:r w:rsidRPr="00B00802">
              <w:rPr>
                <w:rFonts w:cstheme="minorHAnsi"/>
                <w:b/>
                <w:bCs/>
              </w:rPr>
              <w:t>opis</w:t>
            </w:r>
          </w:p>
        </w:tc>
        <w:tc>
          <w:tcPr>
            <w:tcW w:w="1560" w:type="dxa"/>
          </w:tcPr>
          <w:p w14:paraId="57C654EC" w14:textId="77777777" w:rsidR="005D1395" w:rsidRPr="00B00802" w:rsidRDefault="005D1395" w:rsidP="00341ACA">
            <w:pPr>
              <w:jc w:val="center"/>
              <w:rPr>
                <w:rFonts w:cstheme="minorHAnsi"/>
                <w:b/>
                <w:bCs/>
              </w:rPr>
            </w:pPr>
            <w:r w:rsidRPr="00B00802">
              <w:rPr>
                <w:rFonts w:cstheme="minorHAnsi"/>
                <w:b/>
                <w:bCs/>
              </w:rPr>
              <w:t>prihodi poslovanja</w:t>
            </w:r>
          </w:p>
        </w:tc>
        <w:tc>
          <w:tcPr>
            <w:tcW w:w="1559" w:type="dxa"/>
          </w:tcPr>
          <w:p w14:paraId="6EB4CE14" w14:textId="77777777" w:rsidR="005D1395" w:rsidRPr="00B00802" w:rsidRDefault="005D1395" w:rsidP="00341ACA">
            <w:pPr>
              <w:jc w:val="center"/>
              <w:rPr>
                <w:rFonts w:cstheme="minorHAnsi"/>
                <w:b/>
                <w:bCs/>
              </w:rPr>
            </w:pPr>
            <w:r w:rsidRPr="00B00802">
              <w:rPr>
                <w:rFonts w:cstheme="minorHAnsi"/>
                <w:b/>
                <w:bCs/>
              </w:rPr>
              <w:t>prihodi od nefinancijske imovine</w:t>
            </w:r>
          </w:p>
        </w:tc>
        <w:tc>
          <w:tcPr>
            <w:tcW w:w="1412" w:type="dxa"/>
          </w:tcPr>
          <w:p w14:paraId="2952C822" w14:textId="77777777" w:rsidR="005D1395" w:rsidRPr="00B00802" w:rsidRDefault="005D1395" w:rsidP="00341ACA">
            <w:pPr>
              <w:jc w:val="center"/>
              <w:rPr>
                <w:rFonts w:cstheme="minorHAnsi"/>
                <w:b/>
                <w:bCs/>
              </w:rPr>
            </w:pPr>
          </w:p>
          <w:p w14:paraId="67D4855C" w14:textId="77777777" w:rsidR="005D1395" w:rsidRPr="00B00802" w:rsidRDefault="005D1395" w:rsidP="00341ACA">
            <w:pPr>
              <w:jc w:val="center"/>
              <w:rPr>
                <w:rFonts w:cstheme="minorHAnsi"/>
                <w:b/>
                <w:bCs/>
              </w:rPr>
            </w:pPr>
            <w:r w:rsidRPr="00B00802">
              <w:rPr>
                <w:rFonts w:cstheme="minorHAnsi"/>
                <w:b/>
                <w:bCs/>
              </w:rPr>
              <w:t>ukupno</w:t>
            </w:r>
          </w:p>
        </w:tc>
      </w:tr>
      <w:tr w:rsidR="00B00802" w:rsidRPr="00B00802" w14:paraId="0BCA3C18" w14:textId="77777777" w:rsidTr="00341ACA">
        <w:tc>
          <w:tcPr>
            <w:tcW w:w="4531" w:type="dxa"/>
          </w:tcPr>
          <w:p w14:paraId="10AFCCBF" w14:textId="77777777" w:rsidR="005D1395" w:rsidRPr="00B00802" w:rsidRDefault="005D1395" w:rsidP="00341ACA">
            <w:pPr>
              <w:rPr>
                <w:rFonts w:cstheme="minorHAnsi"/>
              </w:rPr>
            </w:pPr>
            <w:r w:rsidRPr="00B00802">
              <w:rPr>
                <w:rFonts w:cstheme="minorHAnsi"/>
              </w:rPr>
              <w:t>Rezultat poslovanja-preneseni 01.01.2020.</w:t>
            </w:r>
          </w:p>
        </w:tc>
        <w:tc>
          <w:tcPr>
            <w:tcW w:w="1560" w:type="dxa"/>
          </w:tcPr>
          <w:p w14:paraId="434E6E30" w14:textId="77777777" w:rsidR="005D1395" w:rsidRPr="00B00802" w:rsidRDefault="005D1395" w:rsidP="00341ACA">
            <w:pPr>
              <w:jc w:val="right"/>
              <w:rPr>
                <w:rFonts w:cstheme="minorHAnsi"/>
              </w:rPr>
            </w:pPr>
            <w:r w:rsidRPr="00B00802">
              <w:rPr>
                <w:rFonts w:cstheme="minorHAnsi"/>
              </w:rPr>
              <w:t>+3.007,39</w:t>
            </w:r>
          </w:p>
        </w:tc>
        <w:tc>
          <w:tcPr>
            <w:tcW w:w="1559" w:type="dxa"/>
          </w:tcPr>
          <w:p w14:paraId="32E6071F" w14:textId="77777777" w:rsidR="005D1395" w:rsidRPr="00B00802" w:rsidRDefault="005D1395" w:rsidP="00341ACA">
            <w:pPr>
              <w:jc w:val="right"/>
              <w:rPr>
                <w:rFonts w:cstheme="minorHAnsi"/>
              </w:rPr>
            </w:pPr>
            <w:r w:rsidRPr="00B00802">
              <w:rPr>
                <w:rFonts w:cstheme="minorHAnsi"/>
              </w:rPr>
              <w:t>-6.827,22</w:t>
            </w:r>
          </w:p>
        </w:tc>
        <w:tc>
          <w:tcPr>
            <w:tcW w:w="1412" w:type="dxa"/>
          </w:tcPr>
          <w:p w14:paraId="3DAC0861" w14:textId="77777777" w:rsidR="005D1395" w:rsidRPr="00B00802" w:rsidRDefault="005D1395" w:rsidP="00341ACA">
            <w:pPr>
              <w:jc w:val="right"/>
              <w:rPr>
                <w:rFonts w:cstheme="minorHAnsi"/>
              </w:rPr>
            </w:pPr>
          </w:p>
        </w:tc>
      </w:tr>
      <w:tr w:rsidR="00B00802" w:rsidRPr="00B00802" w14:paraId="6279E13B" w14:textId="77777777" w:rsidTr="00341ACA">
        <w:tc>
          <w:tcPr>
            <w:tcW w:w="4531" w:type="dxa"/>
          </w:tcPr>
          <w:p w14:paraId="687029CD" w14:textId="77777777" w:rsidR="005D1395" w:rsidRPr="00B00802" w:rsidRDefault="005D1395" w:rsidP="00341ACA">
            <w:pPr>
              <w:rPr>
                <w:rFonts w:cstheme="minorHAnsi"/>
              </w:rPr>
            </w:pPr>
            <w:r w:rsidRPr="00B00802">
              <w:rPr>
                <w:rFonts w:cstheme="minorHAnsi"/>
              </w:rPr>
              <w:t>Odluka o rasporedu rezultata u 2020. godini</w:t>
            </w:r>
          </w:p>
        </w:tc>
        <w:tc>
          <w:tcPr>
            <w:tcW w:w="1560" w:type="dxa"/>
          </w:tcPr>
          <w:p w14:paraId="32008972" w14:textId="77777777" w:rsidR="005D1395" w:rsidRPr="00B00802" w:rsidRDefault="005D1395" w:rsidP="00341ACA">
            <w:pPr>
              <w:jc w:val="right"/>
              <w:rPr>
                <w:rFonts w:cstheme="minorHAnsi"/>
              </w:rPr>
            </w:pPr>
            <w:r w:rsidRPr="00B00802">
              <w:rPr>
                <w:rFonts w:cstheme="minorHAnsi"/>
              </w:rPr>
              <w:t>-3.007,39</w:t>
            </w:r>
          </w:p>
        </w:tc>
        <w:tc>
          <w:tcPr>
            <w:tcW w:w="1559" w:type="dxa"/>
          </w:tcPr>
          <w:p w14:paraId="59A5AA70" w14:textId="77777777" w:rsidR="005D1395" w:rsidRPr="00B00802" w:rsidRDefault="005D1395" w:rsidP="00341ACA">
            <w:pPr>
              <w:jc w:val="right"/>
              <w:rPr>
                <w:rFonts w:cstheme="minorHAnsi"/>
              </w:rPr>
            </w:pPr>
            <w:r w:rsidRPr="00B00802">
              <w:rPr>
                <w:rFonts w:cstheme="minorHAnsi"/>
              </w:rPr>
              <w:t>+3.007,39</w:t>
            </w:r>
          </w:p>
        </w:tc>
        <w:tc>
          <w:tcPr>
            <w:tcW w:w="1412" w:type="dxa"/>
          </w:tcPr>
          <w:p w14:paraId="4388643A" w14:textId="77777777" w:rsidR="005D1395" w:rsidRPr="00B00802" w:rsidRDefault="005D1395" w:rsidP="00341ACA">
            <w:pPr>
              <w:jc w:val="right"/>
              <w:rPr>
                <w:rFonts w:cstheme="minorHAnsi"/>
              </w:rPr>
            </w:pPr>
          </w:p>
        </w:tc>
      </w:tr>
      <w:tr w:rsidR="00B00802" w:rsidRPr="00B00802" w14:paraId="77A288CF" w14:textId="77777777" w:rsidTr="00341ACA">
        <w:tc>
          <w:tcPr>
            <w:tcW w:w="4531" w:type="dxa"/>
            <w:shd w:val="clear" w:color="auto" w:fill="D9D9D9" w:themeFill="background1" w:themeFillShade="D9"/>
          </w:tcPr>
          <w:p w14:paraId="78C27E4E" w14:textId="77777777" w:rsidR="005D1395" w:rsidRPr="00B00802" w:rsidRDefault="005D1395" w:rsidP="00341ACA">
            <w:pPr>
              <w:rPr>
                <w:rFonts w:cstheme="minorHAnsi"/>
                <w:b/>
                <w:bCs/>
                <w:i/>
                <w:iCs/>
              </w:rPr>
            </w:pPr>
            <w:r w:rsidRPr="00B00802">
              <w:rPr>
                <w:rFonts w:cstheme="minorHAnsi"/>
                <w:b/>
                <w:bCs/>
                <w:i/>
                <w:iCs/>
              </w:rPr>
              <w:t>Manjak prihoda od nefin. imovine-preneseni</w:t>
            </w:r>
          </w:p>
        </w:tc>
        <w:tc>
          <w:tcPr>
            <w:tcW w:w="1560" w:type="dxa"/>
            <w:shd w:val="clear" w:color="auto" w:fill="D9D9D9" w:themeFill="background1" w:themeFillShade="D9"/>
          </w:tcPr>
          <w:p w14:paraId="5874696D" w14:textId="77777777" w:rsidR="005D1395" w:rsidRPr="00B00802" w:rsidRDefault="005D1395" w:rsidP="00341ACA">
            <w:pPr>
              <w:jc w:val="right"/>
              <w:rPr>
                <w:rFonts w:cstheme="minorHAnsi"/>
                <w:b/>
                <w:bCs/>
                <w:i/>
                <w:iCs/>
              </w:rPr>
            </w:pPr>
            <w:r w:rsidRPr="00B00802">
              <w:rPr>
                <w:rFonts w:cstheme="minorHAnsi"/>
                <w:b/>
                <w:bCs/>
                <w:i/>
                <w:iCs/>
              </w:rPr>
              <w:t>0,00</w:t>
            </w:r>
          </w:p>
        </w:tc>
        <w:tc>
          <w:tcPr>
            <w:tcW w:w="1559" w:type="dxa"/>
            <w:shd w:val="clear" w:color="auto" w:fill="D9D9D9" w:themeFill="background1" w:themeFillShade="D9"/>
          </w:tcPr>
          <w:p w14:paraId="04FD5471" w14:textId="77777777" w:rsidR="005D1395" w:rsidRPr="00B00802" w:rsidRDefault="005D1395" w:rsidP="00341ACA">
            <w:pPr>
              <w:jc w:val="right"/>
              <w:rPr>
                <w:rFonts w:cstheme="minorHAnsi"/>
                <w:b/>
                <w:bCs/>
                <w:i/>
                <w:iCs/>
              </w:rPr>
            </w:pPr>
            <w:r w:rsidRPr="00B00802">
              <w:rPr>
                <w:rFonts w:cstheme="minorHAnsi"/>
                <w:b/>
                <w:bCs/>
                <w:i/>
                <w:iCs/>
              </w:rPr>
              <w:t>-3.819,83</w:t>
            </w:r>
          </w:p>
        </w:tc>
        <w:tc>
          <w:tcPr>
            <w:tcW w:w="1412" w:type="dxa"/>
            <w:shd w:val="clear" w:color="auto" w:fill="D9D9D9" w:themeFill="background1" w:themeFillShade="D9"/>
          </w:tcPr>
          <w:p w14:paraId="059D1E5D" w14:textId="77777777" w:rsidR="005D1395" w:rsidRPr="00B00802" w:rsidRDefault="005D1395" w:rsidP="00341ACA">
            <w:pPr>
              <w:jc w:val="right"/>
              <w:rPr>
                <w:rFonts w:cstheme="minorHAnsi"/>
                <w:b/>
                <w:bCs/>
                <w:i/>
                <w:iCs/>
              </w:rPr>
            </w:pPr>
            <w:r w:rsidRPr="00B00802">
              <w:rPr>
                <w:rFonts w:cstheme="minorHAnsi"/>
                <w:b/>
                <w:bCs/>
                <w:i/>
                <w:iCs/>
              </w:rPr>
              <w:t>-3.819,83</w:t>
            </w:r>
          </w:p>
        </w:tc>
      </w:tr>
      <w:tr w:rsidR="00B00802" w:rsidRPr="00B00802" w14:paraId="17C6AA99" w14:textId="77777777" w:rsidTr="00341ACA">
        <w:tc>
          <w:tcPr>
            <w:tcW w:w="4531" w:type="dxa"/>
          </w:tcPr>
          <w:p w14:paraId="316761CA" w14:textId="77777777" w:rsidR="005D1395" w:rsidRPr="00B00802" w:rsidRDefault="005D1395" w:rsidP="00341ACA">
            <w:pPr>
              <w:rPr>
                <w:rFonts w:cstheme="minorHAnsi"/>
              </w:rPr>
            </w:pPr>
          </w:p>
        </w:tc>
        <w:tc>
          <w:tcPr>
            <w:tcW w:w="1560" w:type="dxa"/>
          </w:tcPr>
          <w:p w14:paraId="661F4E22" w14:textId="77777777" w:rsidR="005D1395" w:rsidRPr="00B00802" w:rsidRDefault="005D1395" w:rsidP="00341ACA">
            <w:pPr>
              <w:jc w:val="right"/>
              <w:rPr>
                <w:rFonts w:cstheme="minorHAnsi"/>
                <w:b/>
                <w:bCs/>
                <w:i/>
                <w:iCs/>
              </w:rPr>
            </w:pPr>
          </w:p>
        </w:tc>
        <w:tc>
          <w:tcPr>
            <w:tcW w:w="1559" w:type="dxa"/>
          </w:tcPr>
          <w:p w14:paraId="5A0560B1" w14:textId="77777777" w:rsidR="005D1395" w:rsidRPr="00B00802" w:rsidRDefault="005D1395" w:rsidP="00341ACA">
            <w:pPr>
              <w:jc w:val="right"/>
              <w:rPr>
                <w:rFonts w:cstheme="minorHAnsi"/>
                <w:b/>
                <w:bCs/>
                <w:i/>
                <w:iCs/>
              </w:rPr>
            </w:pPr>
          </w:p>
        </w:tc>
        <w:tc>
          <w:tcPr>
            <w:tcW w:w="1412" w:type="dxa"/>
          </w:tcPr>
          <w:p w14:paraId="1B5B4730" w14:textId="77777777" w:rsidR="005D1395" w:rsidRPr="00B00802" w:rsidRDefault="005D1395" w:rsidP="00341ACA">
            <w:pPr>
              <w:jc w:val="right"/>
              <w:rPr>
                <w:rFonts w:cstheme="minorHAnsi"/>
                <w:b/>
                <w:bCs/>
                <w:i/>
                <w:iCs/>
              </w:rPr>
            </w:pPr>
          </w:p>
        </w:tc>
      </w:tr>
      <w:tr w:rsidR="00B00802" w:rsidRPr="00B00802" w14:paraId="302EFA27" w14:textId="77777777" w:rsidTr="00341ACA">
        <w:tc>
          <w:tcPr>
            <w:tcW w:w="4531" w:type="dxa"/>
          </w:tcPr>
          <w:p w14:paraId="3B8B5EDD" w14:textId="77777777" w:rsidR="005D1395" w:rsidRPr="00B00802" w:rsidRDefault="005D1395" w:rsidP="00341ACA">
            <w:pPr>
              <w:rPr>
                <w:rFonts w:cstheme="minorHAnsi"/>
              </w:rPr>
            </w:pPr>
            <w:r w:rsidRPr="00B00802">
              <w:rPr>
                <w:rFonts w:cstheme="minorHAnsi"/>
              </w:rPr>
              <w:t>prihodi ostvareni u 2020</w:t>
            </w:r>
          </w:p>
        </w:tc>
        <w:tc>
          <w:tcPr>
            <w:tcW w:w="1560" w:type="dxa"/>
          </w:tcPr>
          <w:p w14:paraId="6CC30F5C" w14:textId="77777777" w:rsidR="005D1395" w:rsidRPr="00B00802" w:rsidRDefault="005D1395" w:rsidP="00341ACA">
            <w:pPr>
              <w:jc w:val="right"/>
              <w:rPr>
                <w:rFonts w:cstheme="minorHAnsi"/>
              </w:rPr>
            </w:pPr>
            <w:r w:rsidRPr="00B00802">
              <w:rPr>
                <w:rFonts w:cstheme="minorHAnsi"/>
              </w:rPr>
              <w:t>+244.059,43</w:t>
            </w:r>
          </w:p>
        </w:tc>
        <w:tc>
          <w:tcPr>
            <w:tcW w:w="1559" w:type="dxa"/>
          </w:tcPr>
          <w:p w14:paraId="12313CC7" w14:textId="77777777" w:rsidR="005D1395" w:rsidRPr="00B00802" w:rsidRDefault="005D1395" w:rsidP="00341ACA">
            <w:pPr>
              <w:jc w:val="right"/>
              <w:rPr>
                <w:rFonts w:cstheme="minorHAnsi"/>
              </w:rPr>
            </w:pPr>
          </w:p>
        </w:tc>
        <w:tc>
          <w:tcPr>
            <w:tcW w:w="1412" w:type="dxa"/>
          </w:tcPr>
          <w:p w14:paraId="05F5579E" w14:textId="77777777" w:rsidR="005D1395" w:rsidRPr="00B00802" w:rsidRDefault="005D1395" w:rsidP="00341ACA">
            <w:pPr>
              <w:jc w:val="right"/>
              <w:rPr>
                <w:rFonts w:cstheme="minorHAnsi"/>
              </w:rPr>
            </w:pPr>
          </w:p>
        </w:tc>
      </w:tr>
      <w:tr w:rsidR="00B00802" w:rsidRPr="00B00802" w14:paraId="0AE3A089" w14:textId="77777777" w:rsidTr="00341ACA">
        <w:tc>
          <w:tcPr>
            <w:tcW w:w="4531" w:type="dxa"/>
          </w:tcPr>
          <w:p w14:paraId="153F7506" w14:textId="77777777" w:rsidR="005D1395" w:rsidRPr="00B00802" w:rsidRDefault="005D1395" w:rsidP="00341ACA">
            <w:pPr>
              <w:rPr>
                <w:rFonts w:cstheme="minorHAnsi"/>
              </w:rPr>
            </w:pPr>
            <w:r w:rsidRPr="00B00802">
              <w:rPr>
                <w:rFonts w:cstheme="minorHAnsi"/>
              </w:rPr>
              <w:t>rashodi ostvareni u 2020</w:t>
            </w:r>
          </w:p>
        </w:tc>
        <w:tc>
          <w:tcPr>
            <w:tcW w:w="1560" w:type="dxa"/>
          </w:tcPr>
          <w:p w14:paraId="3E792C44" w14:textId="77777777" w:rsidR="005D1395" w:rsidRPr="00B00802" w:rsidRDefault="005D1395" w:rsidP="00341ACA">
            <w:pPr>
              <w:jc w:val="right"/>
              <w:rPr>
                <w:rFonts w:cstheme="minorHAnsi"/>
              </w:rPr>
            </w:pPr>
            <w:r w:rsidRPr="00B00802">
              <w:rPr>
                <w:rFonts w:cstheme="minorHAnsi"/>
              </w:rPr>
              <w:t>-231.103,81</w:t>
            </w:r>
          </w:p>
        </w:tc>
        <w:tc>
          <w:tcPr>
            <w:tcW w:w="1559" w:type="dxa"/>
          </w:tcPr>
          <w:p w14:paraId="49A3F250" w14:textId="77777777" w:rsidR="005D1395" w:rsidRPr="00B00802" w:rsidRDefault="005D1395" w:rsidP="00341ACA">
            <w:pPr>
              <w:jc w:val="right"/>
              <w:rPr>
                <w:rFonts w:cstheme="minorHAnsi"/>
              </w:rPr>
            </w:pPr>
            <w:r w:rsidRPr="00B00802">
              <w:rPr>
                <w:rFonts w:cstheme="minorHAnsi"/>
              </w:rPr>
              <w:t>-25.922,39</w:t>
            </w:r>
          </w:p>
        </w:tc>
        <w:tc>
          <w:tcPr>
            <w:tcW w:w="1412" w:type="dxa"/>
          </w:tcPr>
          <w:p w14:paraId="3193B716" w14:textId="77777777" w:rsidR="005D1395" w:rsidRPr="00B00802" w:rsidRDefault="005D1395" w:rsidP="00341ACA">
            <w:pPr>
              <w:jc w:val="right"/>
              <w:rPr>
                <w:rFonts w:cstheme="minorHAnsi"/>
              </w:rPr>
            </w:pPr>
          </w:p>
        </w:tc>
      </w:tr>
      <w:tr w:rsidR="00B00802" w:rsidRPr="00B00802" w14:paraId="60613A92" w14:textId="77777777" w:rsidTr="00341ACA">
        <w:tc>
          <w:tcPr>
            <w:tcW w:w="4531" w:type="dxa"/>
            <w:shd w:val="clear" w:color="auto" w:fill="D9D9D9" w:themeFill="background1" w:themeFillShade="D9"/>
          </w:tcPr>
          <w:p w14:paraId="59925D91" w14:textId="77777777" w:rsidR="005D1395" w:rsidRPr="00B00802" w:rsidRDefault="005D1395" w:rsidP="00341ACA">
            <w:pPr>
              <w:rPr>
                <w:rFonts w:cstheme="minorHAnsi"/>
                <w:b/>
                <w:bCs/>
                <w:i/>
                <w:iCs/>
              </w:rPr>
            </w:pPr>
            <w:r w:rsidRPr="00B00802">
              <w:rPr>
                <w:rFonts w:cstheme="minorHAnsi"/>
                <w:b/>
                <w:bCs/>
                <w:i/>
                <w:iCs/>
              </w:rPr>
              <w:t>Rezultat prije korekcije</w:t>
            </w:r>
          </w:p>
        </w:tc>
        <w:tc>
          <w:tcPr>
            <w:tcW w:w="1560" w:type="dxa"/>
            <w:shd w:val="clear" w:color="auto" w:fill="D9D9D9" w:themeFill="background1" w:themeFillShade="D9"/>
          </w:tcPr>
          <w:p w14:paraId="5F1C6D8C" w14:textId="77777777" w:rsidR="005D1395" w:rsidRPr="00B00802" w:rsidRDefault="005D1395" w:rsidP="00341ACA">
            <w:pPr>
              <w:jc w:val="right"/>
              <w:rPr>
                <w:rFonts w:cstheme="minorHAnsi"/>
                <w:b/>
                <w:bCs/>
                <w:i/>
                <w:iCs/>
              </w:rPr>
            </w:pPr>
            <w:r w:rsidRPr="00B00802">
              <w:rPr>
                <w:rFonts w:cstheme="minorHAnsi"/>
                <w:b/>
                <w:bCs/>
                <w:i/>
                <w:iCs/>
              </w:rPr>
              <w:t>+12.955,62</w:t>
            </w:r>
          </w:p>
        </w:tc>
        <w:tc>
          <w:tcPr>
            <w:tcW w:w="1559" w:type="dxa"/>
            <w:shd w:val="clear" w:color="auto" w:fill="D9D9D9" w:themeFill="background1" w:themeFillShade="D9"/>
          </w:tcPr>
          <w:p w14:paraId="60A386F3" w14:textId="77777777" w:rsidR="005D1395" w:rsidRPr="00B00802" w:rsidRDefault="005D1395" w:rsidP="00341ACA">
            <w:pPr>
              <w:jc w:val="right"/>
              <w:rPr>
                <w:rFonts w:cstheme="minorHAnsi"/>
                <w:b/>
                <w:bCs/>
                <w:i/>
                <w:iCs/>
              </w:rPr>
            </w:pPr>
            <w:r w:rsidRPr="00B00802">
              <w:rPr>
                <w:rFonts w:cstheme="minorHAnsi"/>
                <w:b/>
                <w:bCs/>
                <w:i/>
                <w:iCs/>
              </w:rPr>
              <w:t>-25.922,39</w:t>
            </w:r>
          </w:p>
        </w:tc>
        <w:tc>
          <w:tcPr>
            <w:tcW w:w="1412" w:type="dxa"/>
            <w:shd w:val="clear" w:color="auto" w:fill="D9D9D9" w:themeFill="background1" w:themeFillShade="D9"/>
          </w:tcPr>
          <w:p w14:paraId="7C7CF21D" w14:textId="77777777" w:rsidR="005D1395" w:rsidRPr="00B00802" w:rsidRDefault="005D1395" w:rsidP="00341ACA">
            <w:pPr>
              <w:jc w:val="right"/>
              <w:rPr>
                <w:rFonts w:cstheme="minorHAnsi"/>
                <w:b/>
                <w:bCs/>
                <w:i/>
                <w:iCs/>
              </w:rPr>
            </w:pPr>
            <w:r w:rsidRPr="00B00802">
              <w:rPr>
                <w:rFonts w:cstheme="minorHAnsi"/>
                <w:b/>
                <w:bCs/>
                <w:i/>
                <w:iCs/>
              </w:rPr>
              <w:t>-12.966,77</w:t>
            </w:r>
          </w:p>
        </w:tc>
      </w:tr>
      <w:tr w:rsidR="00B00802" w:rsidRPr="00B00802" w14:paraId="1796BBEB" w14:textId="77777777" w:rsidTr="00341ACA">
        <w:tc>
          <w:tcPr>
            <w:tcW w:w="4531" w:type="dxa"/>
          </w:tcPr>
          <w:p w14:paraId="0D10CC95" w14:textId="77777777" w:rsidR="005D1395" w:rsidRPr="00B00802" w:rsidRDefault="005D1395" w:rsidP="00341ACA">
            <w:pPr>
              <w:rPr>
                <w:rFonts w:cstheme="minorHAnsi"/>
              </w:rPr>
            </w:pPr>
            <w:r w:rsidRPr="00B00802">
              <w:rPr>
                <w:rFonts w:cstheme="minorHAnsi"/>
              </w:rPr>
              <w:t>1.korekcija (konto 6332)</w:t>
            </w:r>
          </w:p>
        </w:tc>
        <w:tc>
          <w:tcPr>
            <w:tcW w:w="1560" w:type="dxa"/>
          </w:tcPr>
          <w:p w14:paraId="588525ED" w14:textId="77777777" w:rsidR="005D1395" w:rsidRPr="00B00802" w:rsidRDefault="005D1395" w:rsidP="00341ACA">
            <w:pPr>
              <w:jc w:val="right"/>
              <w:rPr>
                <w:rFonts w:cstheme="minorHAnsi"/>
              </w:rPr>
            </w:pPr>
            <w:r w:rsidRPr="00B00802">
              <w:rPr>
                <w:rFonts w:cstheme="minorHAnsi"/>
              </w:rPr>
              <w:t>-20.000,00</w:t>
            </w:r>
          </w:p>
        </w:tc>
        <w:tc>
          <w:tcPr>
            <w:tcW w:w="1559" w:type="dxa"/>
          </w:tcPr>
          <w:p w14:paraId="070CDEFA" w14:textId="77777777" w:rsidR="005D1395" w:rsidRPr="00B00802" w:rsidRDefault="005D1395" w:rsidP="00341ACA">
            <w:pPr>
              <w:jc w:val="right"/>
              <w:rPr>
                <w:rFonts w:cstheme="minorHAnsi"/>
              </w:rPr>
            </w:pPr>
            <w:r w:rsidRPr="00B00802">
              <w:rPr>
                <w:rFonts w:cstheme="minorHAnsi"/>
              </w:rPr>
              <w:t>+20.000,00</w:t>
            </w:r>
          </w:p>
        </w:tc>
        <w:tc>
          <w:tcPr>
            <w:tcW w:w="1412" w:type="dxa"/>
          </w:tcPr>
          <w:p w14:paraId="13D2C330" w14:textId="77777777" w:rsidR="005D1395" w:rsidRPr="00B00802" w:rsidRDefault="005D1395" w:rsidP="00341ACA">
            <w:pPr>
              <w:jc w:val="right"/>
              <w:rPr>
                <w:rFonts w:cstheme="minorHAnsi"/>
              </w:rPr>
            </w:pPr>
          </w:p>
        </w:tc>
      </w:tr>
      <w:tr w:rsidR="00B00802" w:rsidRPr="00B00802" w14:paraId="08F3C4A4" w14:textId="77777777" w:rsidTr="00341ACA">
        <w:tc>
          <w:tcPr>
            <w:tcW w:w="4531" w:type="dxa"/>
          </w:tcPr>
          <w:p w14:paraId="0CB3D1AF" w14:textId="77777777" w:rsidR="005D1395" w:rsidRPr="00B00802" w:rsidRDefault="005D1395" w:rsidP="00341ACA">
            <w:pPr>
              <w:rPr>
                <w:rFonts w:cstheme="minorHAnsi"/>
              </w:rPr>
            </w:pPr>
          </w:p>
        </w:tc>
        <w:tc>
          <w:tcPr>
            <w:tcW w:w="1560" w:type="dxa"/>
          </w:tcPr>
          <w:p w14:paraId="697FD999" w14:textId="77777777" w:rsidR="005D1395" w:rsidRPr="00B00802" w:rsidRDefault="005D1395" w:rsidP="00341ACA">
            <w:pPr>
              <w:jc w:val="right"/>
              <w:rPr>
                <w:rFonts w:cstheme="minorHAnsi"/>
              </w:rPr>
            </w:pPr>
          </w:p>
        </w:tc>
        <w:tc>
          <w:tcPr>
            <w:tcW w:w="1559" w:type="dxa"/>
          </w:tcPr>
          <w:p w14:paraId="68CBB72B" w14:textId="77777777" w:rsidR="005D1395" w:rsidRPr="00B00802" w:rsidRDefault="005D1395" w:rsidP="00341ACA">
            <w:pPr>
              <w:jc w:val="right"/>
              <w:rPr>
                <w:rFonts w:cstheme="minorHAnsi"/>
              </w:rPr>
            </w:pPr>
          </w:p>
        </w:tc>
        <w:tc>
          <w:tcPr>
            <w:tcW w:w="1412" w:type="dxa"/>
          </w:tcPr>
          <w:p w14:paraId="6A3EDEBC" w14:textId="77777777" w:rsidR="005D1395" w:rsidRPr="00B00802" w:rsidRDefault="005D1395" w:rsidP="00341ACA">
            <w:pPr>
              <w:jc w:val="right"/>
              <w:rPr>
                <w:rFonts w:cstheme="minorHAnsi"/>
              </w:rPr>
            </w:pPr>
          </w:p>
        </w:tc>
      </w:tr>
      <w:tr w:rsidR="00B00802" w:rsidRPr="00B00802" w14:paraId="5C5C1653" w14:textId="77777777" w:rsidTr="00341ACA">
        <w:tc>
          <w:tcPr>
            <w:tcW w:w="4531" w:type="dxa"/>
            <w:shd w:val="clear" w:color="auto" w:fill="D9D9D9" w:themeFill="background1" w:themeFillShade="D9"/>
          </w:tcPr>
          <w:p w14:paraId="0ACB821A" w14:textId="77777777" w:rsidR="005D1395" w:rsidRPr="00B00802" w:rsidRDefault="005D1395" w:rsidP="00341ACA">
            <w:pPr>
              <w:rPr>
                <w:rFonts w:cstheme="minorHAnsi"/>
                <w:b/>
                <w:bCs/>
              </w:rPr>
            </w:pPr>
            <w:r w:rsidRPr="00B00802">
              <w:rPr>
                <w:rFonts w:cstheme="minorHAnsi"/>
                <w:b/>
                <w:bCs/>
              </w:rPr>
              <w:t>Manjak prihoda poslovanja 31.12.2020.</w:t>
            </w:r>
          </w:p>
          <w:p w14:paraId="3C4ACD9A" w14:textId="77777777" w:rsidR="005D1395" w:rsidRPr="00B00802" w:rsidRDefault="005D1395" w:rsidP="00341ACA">
            <w:pPr>
              <w:rPr>
                <w:rFonts w:cstheme="minorHAnsi"/>
                <w:b/>
                <w:bCs/>
              </w:rPr>
            </w:pPr>
            <w:r w:rsidRPr="00B00802">
              <w:rPr>
                <w:rFonts w:cstheme="minorHAnsi"/>
                <w:b/>
                <w:bCs/>
              </w:rPr>
              <w:t>-za prijenos u sljedeće razdoblje</w:t>
            </w:r>
          </w:p>
        </w:tc>
        <w:tc>
          <w:tcPr>
            <w:tcW w:w="1560" w:type="dxa"/>
            <w:shd w:val="clear" w:color="auto" w:fill="D9D9D9" w:themeFill="background1" w:themeFillShade="D9"/>
          </w:tcPr>
          <w:p w14:paraId="1CBE6297" w14:textId="77777777" w:rsidR="005D1395" w:rsidRPr="00B00802" w:rsidRDefault="005D1395" w:rsidP="00341ACA">
            <w:pPr>
              <w:jc w:val="right"/>
              <w:rPr>
                <w:rFonts w:cstheme="minorHAnsi"/>
                <w:b/>
                <w:bCs/>
              </w:rPr>
            </w:pPr>
          </w:p>
          <w:p w14:paraId="4ED905EF" w14:textId="77777777" w:rsidR="005D1395" w:rsidRPr="00B00802" w:rsidRDefault="005D1395" w:rsidP="00341ACA">
            <w:pPr>
              <w:jc w:val="right"/>
              <w:rPr>
                <w:rFonts w:cstheme="minorHAnsi"/>
                <w:b/>
                <w:bCs/>
              </w:rPr>
            </w:pPr>
            <w:r w:rsidRPr="00B00802">
              <w:rPr>
                <w:rFonts w:cstheme="minorHAnsi"/>
                <w:b/>
                <w:bCs/>
              </w:rPr>
              <w:t>-7.044,38</w:t>
            </w:r>
          </w:p>
        </w:tc>
        <w:tc>
          <w:tcPr>
            <w:tcW w:w="1559" w:type="dxa"/>
            <w:shd w:val="clear" w:color="auto" w:fill="D9D9D9" w:themeFill="background1" w:themeFillShade="D9"/>
          </w:tcPr>
          <w:p w14:paraId="76C57BCF" w14:textId="77777777" w:rsidR="005D1395" w:rsidRPr="00B00802" w:rsidRDefault="005D1395" w:rsidP="00341ACA">
            <w:pPr>
              <w:jc w:val="center"/>
              <w:rPr>
                <w:rFonts w:cstheme="minorHAnsi"/>
                <w:b/>
                <w:bCs/>
              </w:rPr>
            </w:pPr>
          </w:p>
          <w:p w14:paraId="112BBA2D" w14:textId="77777777" w:rsidR="005D1395" w:rsidRPr="00B00802" w:rsidRDefault="005D1395" w:rsidP="00341ACA">
            <w:pPr>
              <w:jc w:val="center"/>
              <w:rPr>
                <w:rFonts w:cstheme="minorHAnsi"/>
                <w:b/>
                <w:bCs/>
              </w:rPr>
            </w:pPr>
            <w:r w:rsidRPr="00B00802">
              <w:rPr>
                <w:rFonts w:cstheme="minorHAnsi"/>
                <w:b/>
                <w:bCs/>
              </w:rPr>
              <w:t>-</w:t>
            </w:r>
          </w:p>
        </w:tc>
        <w:tc>
          <w:tcPr>
            <w:tcW w:w="1412" w:type="dxa"/>
            <w:shd w:val="clear" w:color="auto" w:fill="D9D9D9" w:themeFill="background1" w:themeFillShade="D9"/>
          </w:tcPr>
          <w:p w14:paraId="5591FB21" w14:textId="77777777" w:rsidR="005D1395" w:rsidRPr="00B00802" w:rsidRDefault="005D1395" w:rsidP="00341ACA">
            <w:pPr>
              <w:jc w:val="right"/>
              <w:rPr>
                <w:rFonts w:cstheme="minorHAnsi"/>
                <w:b/>
                <w:bCs/>
              </w:rPr>
            </w:pPr>
          </w:p>
        </w:tc>
      </w:tr>
      <w:tr w:rsidR="00B00802" w:rsidRPr="00B00802" w14:paraId="662BD0AA" w14:textId="77777777" w:rsidTr="00341ACA">
        <w:tc>
          <w:tcPr>
            <w:tcW w:w="4531" w:type="dxa"/>
            <w:shd w:val="clear" w:color="auto" w:fill="D9D9D9" w:themeFill="background1" w:themeFillShade="D9"/>
          </w:tcPr>
          <w:p w14:paraId="53D15939" w14:textId="77777777" w:rsidR="005D1395" w:rsidRPr="00B00802" w:rsidRDefault="005D1395" w:rsidP="00341ACA">
            <w:pPr>
              <w:rPr>
                <w:rFonts w:cstheme="minorHAnsi"/>
                <w:b/>
                <w:bCs/>
              </w:rPr>
            </w:pPr>
            <w:r w:rsidRPr="00B00802">
              <w:rPr>
                <w:rFonts w:cstheme="minorHAnsi"/>
                <w:b/>
                <w:bCs/>
              </w:rPr>
              <w:t xml:space="preserve">Manjak prihoda od </w:t>
            </w:r>
            <w:proofErr w:type="spellStart"/>
            <w:r w:rsidRPr="00B00802">
              <w:rPr>
                <w:rFonts w:cstheme="minorHAnsi"/>
                <w:b/>
                <w:bCs/>
              </w:rPr>
              <w:t>nefinanc</w:t>
            </w:r>
            <w:proofErr w:type="spellEnd"/>
            <w:r w:rsidRPr="00B00802">
              <w:rPr>
                <w:rFonts w:cstheme="minorHAnsi"/>
                <w:b/>
                <w:bCs/>
              </w:rPr>
              <w:t>. Imov.31.12.2020.</w:t>
            </w:r>
          </w:p>
          <w:p w14:paraId="2158CF34" w14:textId="77777777" w:rsidR="005D1395" w:rsidRPr="00B00802" w:rsidRDefault="005D1395" w:rsidP="00341ACA">
            <w:pPr>
              <w:rPr>
                <w:rFonts w:cstheme="minorHAnsi"/>
                <w:b/>
                <w:bCs/>
              </w:rPr>
            </w:pPr>
            <w:r w:rsidRPr="00B00802">
              <w:rPr>
                <w:rFonts w:cstheme="minorHAnsi"/>
                <w:b/>
                <w:bCs/>
              </w:rPr>
              <w:t>-za prijenos u sljedeće razdoblje</w:t>
            </w:r>
          </w:p>
        </w:tc>
        <w:tc>
          <w:tcPr>
            <w:tcW w:w="1560" w:type="dxa"/>
            <w:shd w:val="clear" w:color="auto" w:fill="D9D9D9" w:themeFill="background1" w:themeFillShade="D9"/>
          </w:tcPr>
          <w:p w14:paraId="6711BC27" w14:textId="77777777" w:rsidR="005D1395" w:rsidRPr="00B00802" w:rsidRDefault="005D1395" w:rsidP="00341ACA">
            <w:pPr>
              <w:jc w:val="center"/>
              <w:rPr>
                <w:rFonts w:cstheme="minorHAnsi"/>
                <w:b/>
                <w:bCs/>
              </w:rPr>
            </w:pPr>
          </w:p>
          <w:p w14:paraId="2E6C2233" w14:textId="77777777" w:rsidR="005D1395" w:rsidRPr="00B00802" w:rsidRDefault="005D1395" w:rsidP="00341ACA">
            <w:pPr>
              <w:jc w:val="center"/>
              <w:rPr>
                <w:rFonts w:cstheme="minorHAnsi"/>
                <w:b/>
                <w:bCs/>
              </w:rPr>
            </w:pPr>
            <w:r w:rsidRPr="00B00802">
              <w:rPr>
                <w:rFonts w:cstheme="minorHAnsi"/>
                <w:b/>
                <w:bCs/>
              </w:rPr>
              <w:t>-</w:t>
            </w:r>
          </w:p>
        </w:tc>
        <w:tc>
          <w:tcPr>
            <w:tcW w:w="1559" w:type="dxa"/>
            <w:shd w:val="clear" w:color="auto" w:fill="D9D9D9" w:themeFill="background1" w:themeFillShade="D9"/>
          </w:tcPr>
          <w:p w14:paraId="0568C5F0" w14:textId="77777777" w:rsidR="005D1395" w:rsidRPr="00B00802" w:rsidRDefault="005D1395" w:rsidP="00341ACA">
            <w:pPr>
              <w:jc w:val="right"/>
              <w:rPr>
                <w:rFonts w:cstheme="minorHAnsi"/>
                <w:b/>
                <w:bCs/>
              </w:rPr>
            </w:pPr>
          </w:p>
          <w:p w14:paraId="1F7E3FA3" w14:textId="77777777" w:rsidR="005D1395" w:rsidRPr="00B00802" w:rsidRDefault="005D1395" w:rsidP="00341ACA">
            <w:pPr>
              <w:jc w:val="right"/>
              <w:rPr>
                <w:rFonts w:cstheme="minorHAnsi"/>
                <w:b/>
                <w:bCs/>
              </w:rPr>
            </w:pPr>
            <w:r w:rsidRPr="00B00802">
              <w:rPr>
                <w:rFonts w:cstheme="minorHAnsi"/>
                <w:b/>
                <w:bCs/>
              </w:rPr>
              <w:t>-9.742,22</w:t>
            </w:r>
          </w:p>
        </w:tc>
        <w:tc>
          <w:tcPr>
            <w:tcW w:w="1412" w:type="dxa"/>
            <w:shd w:val="clear" w:color="auto" w:fill="D9D9D9" w:themeFill="background1" w:themeFillShade="D9"/>
          </w:tcPr>
          <w:p w14:paraId="495C1393" w14:textId="77777777" w:rsidR="005D1395" w:rsidRPr="00B00802" w:rsidRDefault="005D1395" w:rsidP="00341ACA">
            <w:pPr>
              <w:jc w:val="right"/>
              <w:rPr>
                <w:rFonts w:cstheme="minorHAnsi"/>
                <w:b/>
                <w:bCs/>
              </w:rPr>
            </w:pPr>
          </w:p>
          <w:p w14:paraId="6C67D38E" w14:textId="77777777" w:rsidR="005D1395" w:rsidRPr="00B00802" w:rsidRDefault="005D1395" w:rsidP="00341ACA">
            <w:pPr>
              <w:jc w:val="right"/>
              <w:rPr>
                <w:rFonts w:cstheme="minorHAnsi"/>
                <w:b/>
                <w:bCs/>
              </w:rPr>
            </w:pPr>
            <w:r w:rsidRPr="00B00802">
              <w:rPr>
                <w:rFonts w:cstheme="minorHAnsi"/>
                <w:b/>
                <w:bCs/>
              </w:rPr>
              <w:t>-16.786,60</w:t>
            </w:r>
          </w:p>
        </w:tc>
      </w:tr>
    </w:tbl>
    <w:p w14:paraId="4818CB46" w14:textId="77777777" w:rsidR="00D75E1C" w:rsidRPr="00B00802" w:rsidRDefault="00D75E1C" w:rsidP="00D75E1C">
      <w:pPr>
        <w:spacing w:after="0"/>
        <w:jc w:val="both"/>
        <w:rPr>
          <w:rFonts w:cstheme="minorHAnsi"/>
        </w:rPr>
      </w:pPr>
    </w:p>
    <w:p w14:paraId="00A9001D" w14:textId="77777777" w:rsidR="00D75E1C" w:rsidRPr="00B00802" w:rsidRDefault="00D75E1C" w:rsidP="00D75E1C">
      <w:pPr>
        <w:spacing w:after="0"/>
        <w:jc w:val="center"/>
        <w:rPr>
          <w:rFonts w:cstheme="minorHAnsi"/>
        </w:rPr>
      </w:pPr>
      <w:r w:rsidRPr="00B00802">
        <w:rPr>
          <w:rFonts w:cstheme="minorHAnsi"/>
          <w:b/>
        </w:rPr>
        <w:t>Bilješke uz obrazac RAS-funkcijski</w:t>
      </w:r>
    </w:p>
    <w:p w14:paraId="6E75FC93" w14:textId="5E279A47" w:rsidR="00D75E1C" w:rsidRPr="00B00802" w:rsidRDefault="00D75E1C" w:rsidP="00D75E1C">
      <w:pPr>
        <w:spacing w:after="0"/>
        <w:jc w:val="center"/>
        <w:rPr>
          <w:rFonts w:cstheme="minorHAnsi"/>
        </w:rPr>
      </w:pPr>
      <w:r w:rsidRPr="00B00802">
        <w:rPr>
          <w:rFonts w:cstheme="minorHAnsi"/>
        </w:rPr>
        <w:t>Bilješka 1</w:t>
      </w:r>
      <w:r w:rsidR="008820C9">
        <w:rPr>
          <w:rFonts w:cstheme="minorHAnsi"/>
        </w:rPr>
        <w:t>2</w:t>
      </w:r>
      <w:r w:rsidRPr="00B00802">
        <w:rPr>
          <w:rFonts w:cstheme="minorHAnsi"/>
        </w:rPr>
        <w:t>.</w:t>
      </w:r>
    </w:p>
    <w:p w14:paraId="3F677B68" w14:textId="77777777" w:rsidR="00D75E1C" w:rsidRPr="00B00802" w:rsidRDefault="00D75E1C" w:rsidP="00D75E1C">
      <w:pPr>
        <w:spacing w:after="0"/>
        <w:jc w:val="center"/>
        <w:rPr>
          <w:rFonts w:cstheme="minorHAnsi"/>
        </w:rPr>
      </w:pPr>
      <w:r w:rsidRPr="00B00802">
        <w:rPr>
          <w:rFonts w:cstheme="minorHAnsi"/>
        </w:rPr>
        <w:t>AOP 104 – Službe rekreacije i sporta</w:t>
      </w:r>
    </w:p>
    <w:p w14:paraId="7FF6084A" w14:textId="77777777" w:rsidR="00D75E1C" w:rsidRPr="00B00802" w:rsidRDefault="00D75E1C" w:rsidP="00D75E1C">
      <w:pPr>
        <w:spacing w:after="0"/>
        <w:jc w:val="both"/>
        <w:rPr>
          <w:rFonts w:cstheme="minorHAnsi"/>
        </w:rPr>
      </w:pPr>
      <w:r w:rsidRPr="00B00802">
        <w:rPr>
          <w:rFonts w:cstheme="minorHAnsi"/>
        </w:rPr>
        <w:t>Iznos naveden pod ovim AOP-om odgovara ukupno iskazanim rashodima poslovanja i iskazanim rashodima za nabavu proizvedene dugotrajne nefinancijske imovine u obrascu PR-RAS.</w:t>
      </w:r>
    </w:p>
    <w:p w14:paraId="1CA8F1FA" w14:textId="77777777" w:rsidR="00D75E1C" w:rsidRPr="00B00802" w:rsidRDefault="00D75E1C" w:rsidP="00D75E1C">
      <w:pPr>
        <w:spacing w:after="0"/>
        <w:jc w:val="both"/>
        <w:rPr>
          <w:rFonts w:cstheme="minorHAnsi"/>
        </w:rPr>
      </w:pPr>
    </w:p>
    <w:p w14:paraId="1857B74C" w14:textId="77777777" w:rsidR="00D75E1C" w:rsidRPr="00B00802" w:rsidRDefault="00D75E1C" w:rsidP="00D75E1C">
      <w:pPr>
        <w:spacing w:after="0"/>
        <w:jc w:val="center"/>
        <w:rPr>
          <w:rFonts w:cstheme="minorHAnsi"/>
        </w:rPr>
      </w:pPr>
      <w:r w:rsidRPr="00B00802">
        <w:rPr>
          <w:rFonts w:cstheme="minorHAnsi"/>
          <w:b/>
        </w:rPr>
        <w:t>Bilješke uz obrazac Obveze</w:t>
      </w:r>
    </w:p>
    <w:p w14:paraId="781FB047" w14:textId="01303291" w:rsidR="00D75E1C" w:rsidRPr="00B00802" w:rsidRDefault="00D75E1C" w:rsidP="00D75E1C">
      <w:pPr>
        <w:spacing w:after="0"/>
        <w:jc w:val="center"/>
        <w:rPr>
          <w:rFonts w:cstheme="minorHAnsi"/>
        </w:rPr>
      </w:pPr>
      <w:r w:rsidRPr="00B00802">
        <w:rPr>
          <w:rFonts w:cstheme="minorHAnsi"/>
        </w:rPr>
        <w:t>Bilješka 1</w:t>
      </w:r>
      <w:r w:rsidR="008820C9">
        <w:rPr>
          <w:rFonts w:cstheme="minorHAnsi"/>
        </w:rPr>
        <w:t>3</w:t>
      </w:r>
      <w:r w:rsidRPr="00B00802">
        <w:rPr>
          <w:rFonts w:cstheme="minorHAnsi"/>
        </w:rPr>
        <w:t>.</w:t>
      </w:r>
    </w:p>
    <w:p w14:paraId="72BA938B" w14:textId="77777777" w:rsidR="00D75E1C" w:rsidRPr="00B00802" w:rsidRDefault="00D75E1C" w:rsidP="00D75E1C">
      <w:pPr>
        <w:spacing w:after="0"/>
        <w:jc w:val="center"/>
        <w:rPr>
          <w:rFonts w:cstheme="minorHAnsi"/>
        </w:rPr>
      </w:pPr>
      <w:r w:rsidRPr="00B00802">
        <w:rPr>
          <w:rFonts w:cstheme="minorHAnsi"/>
        </w:rPr>
        <w:t>AOP 036 – Stanje obveza na kraju izvještajnog razdoblja</w:t>
      </w:r>
    </w:p>
    <w:p w14:paraId="2F7F7EE7" w14:textId="6EC970A6" w:rsidR="00053A37" w:rsidRPr="00B00802" w:rsidRDefault="00353A94" w:rsidP="00053A37">
      <w:pPr>
        <w:spacing w:after="0"/>
        <w:jc w:val="both"/>
        <w:rPr>
          <w:rFonts w:cstheme="minorHAnsi"/>
        </w:rPr>
      </w:pPr>
      <w:r w:rsidRPr="00B00802">
        <w:rPr>
          <w:rFonts w:cstheme="minorHAnsi"/>
        </w:rPr>
        <w:t>Nedospjele obveze podmirene su u siječnju 2021. godine, a s</w:t>
      </w:r>
      <w:r w:rsidR="00053A37" w:rsidRPr="00B00802">
        <w:rPr>
          <w:rFonts w:cstheme="minorHAnsi"/>
        </w:rPr>
        <w:t>ve dospjele obveze se odnose na obveze za nabavu nefinancijske imovine, odnosno knjižne građe. Spadaju u prekoračenje plaćanja do 60 dana.</w:t>
      </w:r>
    </w:p>
    <w:p w14:paraId="7A3367B0" w14:textId="38257CA4" w:rsidR="00D75E1C" w:rsidRPr="00B00802" w:rsidRDefault="00D75E1C" w:rsidP="00D75E1C">
      <w:pPr>
        <w:spacing w:after="0"/>
        <w:jc w:val="both"/>
        <w:rPr>
          <w:rFonts w:cstheme="minorHAnsi"/>
        </w:rPr>
      </w:pPr>
    </w:p>
    <w:p w14:paraId="112B6E7B" w14:textId="77777777" w:rsidR="001550B9" w:rsidRPr="00B00802" w:rsidRDefault="001550B9" w:rsidP="00D75E1C">
      <w:pPr>
        <w:spacing w:after="0"/>
        <w:jc w:val="both"/>
        <w:rPr>
          <w:rFonts w:cstheme="minorHAnsi"/>
        </w:rPr>
      </w:pPr>
    </w:p>
    <w:p w14:paraId="211DC034" w14:textId="4F7242CA" w:rsidR="00D75E1C" w:rsidRPr="00B00802" w:rsidRDefault="00D75E1C" w:rsidP="00D75E1C">
      <w:pPr>
        <w:spacing w:after="0"/>
        <w:rPr>
          <w:rFonts w:cstheme="minorHAnsi"/>
        </w:rPr>
      </w:pPr>
      <w:r w:rsidRPr="00B00802">
        <w:rPr>
          <w:rFonts w:cstheme="minorHAnsi"/>
        </w:rPr>
        <w:t>U Salima, 2</w:t>
      </w:r>
      <w:r w:rsidR="00CC33C8" w:rsidRPr="00B00802">
        <w:rPr>
          <w:rFonts w:cstheme="minorHAnsi"/>
        </w:rPr>
        <w:t>9</w:t>
      </w:r>
      <w:r w:rsidRPr="00B00802">
        <w:rPr>
          <w:rFonts w:cstheme="minorHAnsi"/>
        </w:rPr>
        <w:t>.01.2021. godine</w:t>
      </w:r>
      <w:r w:rsidRPr="00B00802">
        <w:rPr>
          <w:rFonts w:cstheme="minorHAnsi"/>
        </w:rPr>
        <w:tab/>
      </w:r>
      <w:r w:rsidRPr="00B00802">
        <w:rPr>
          <w:rFonts w:cstheme="minorHAnsi"/>
        </w:rPr>
        <w:tab/>
      </w:r>
      <w:r w:rsidRPr="00B00802">
        <w:rPr>
          <w:rFonts w:cstheme="minorHAnsi"/>
        </w:rPr>
        <w:tab/>
      </w:r>
      <w:r w:rsidRPr="00B00802">
        <w:rPr>
          <w:rFonts w:cstheme="minorHAnsi"/>
        </w:rPr>
        <w:tab/>
      </w:r>
      <w:r w:rsidRPr="00B00802">
        <w:rPr>
          <w:rFonts w:cstheme="minorHAnsi"/>
        </w:rPr>
        <w:tab/>
      </w:r>
      <w:r w:rsidRPr="00B00802">
        <w:rPr>
          <w:rFonts w:cstheme="minorHAnsi"/>
        </w:rPr>
        <w:tab/>
      </w:r>
    </w:p>
    <w:p w14:paraId="0D6348B6" w14:textId="2F826475" w:rsidR="00D75E1C" w:rsidRPr="00B00802" w:rsidRDefault="00D75E1C" w:rsidP="00D75E1C">
      <w:pPr>
        <w:spacing w:after="0"/>
        <w:rPr>
          <w:rFonts w:cstheme="minorHAnsi"/>
        </w:rPr>
      </w:pPr>
    </w:p>
    <w:p w14:paraId="34E91BF9" w14:textId="77777777" w:rsidR="00D75E1C" w:rsidRPr="00B00802" w:rsidRDefault="00D75E1C" w:rsidP="00D75E1C">
      <w:pPr>
        <w:spacing w:after="0"/>
        <w:rPr>
          <w:rFonts w:cstheme="minorHAnsi"/>
        </w:rPr>
      </w:pPr>
    </w:p>
    <w:p w14:paraId="0A83EA21" w14:textId="256115A8" w:rsidR="00CC33C8" w:rsidRPr="00B00802" w:rsidRDefault="00CC33C8" w:rsidP="00CC33C8">
      <w:pPr>
        <w:spacing w:after="0"/>
        <w:rPr>
          <w:rFonts w:cstheme="minorHAnsi"/>
        </w:rPr>
      </w:pPr>
      <w:r w:rsidRPr="00B00802">
        <w:rPr>
          <w:rFonts w:cstheme="minorHAnsi"/>
        </w:rPr>
        <w:t>Osoba za kontaktiranje:</w:t>
      </w:r>
      <w:r w:rsidRPr="00B00802">
        <w:rPr>
          <w:rFonts w:cstheme="minorHAnsi"/>
        </w:rPr>
        <w:tab/>
      </w:r>
      <w:r w:rsidRPr="00B00802">
        <w:rPr>
          <w:rFonts w:cstheme="minorHAnsi"/>
        </w:rPr>
        <w:tab/>
      </w:r>
      <w:r w:rsidRPr="00B00802">
        <w:rPr>
          <w:rFonts w:cstheme="minorHAnsi"/>
        </w:rPr>
        <w:tab/>
      </w:r>
      <w:r w:rsidR="00B00802">
        <w:rPr>
          <w:rFonts w:cstheme="minorHAnsi"/>
        </w:rPr>
        <w:tab/>
      </w:r>
      <w:r w:rsidRPr="00B00802">
        <w:rPr>
          <w:rFonts w:cstheme="minorHAnsi"/>
        </w:rPr>
        <w:t xml:space="preserve">Jelena </w:t>
      </w:r>
      <w:proofErr w:type="spellStart"/>
      <w:r w:rsidRPr="00B00802">
        <w:rPr>
          <w:rFonts w:cstheme="minorHAnsi"/>
        </w:rPr>
        <w:t>Grbin</w:t>
      </w:r>
      <w:proofErr w:type="spellEnd"/>
      <w:r w:rsidRPr="00B00802">
        <w:rPr>
          <w:rFonts w:cstheme="minorHAnsi"/>
        </w:rPr>
        <w:tab/>
      </w:r>
      <w:r w:rsidRPr="00B00802">
        <w:rPr>
          <w:rFonts w:cstheme="minorHAnsi"/>
        </w:rPr>
        <w:tab/>
      </w:r>
      <w:r w:rsidRPr="00B00802">
        <w:rPr>
          <w:rFonts w:cstheme="minorHAnsi"/>
        </w:rPr>
        <w:tab/>
      </w:r>
      <w:r w:rsidRPr="00B00802">
        <w:rPr>
          <w:rFonts w:cstheme="minorHAnsi"/>
        </w:rPr>
        <w:tab/>
      </w:r>
      <w:r w:rsidRPr="00B00802">
        <w:rPr>
          <w:rFonts w:cstheme="minorHAnsi"/>
        </w:rPr>
        <w:tab/>
      </w:r>
    </w:p>
    <w:p w14:paraId="01B9A392" w14:textId="287180A6" w:rsidR="00CC33C8" w:rsidRPr="00B00802" w:rsidRDefault="00CC33C8" w:rsidP="00CC33C8">
      <w:pPr>
        <w:spacing w:after="0"/>
        <w:rPr>
          <w:rFonts w:cstheme="minorHAnsi"/>
        </w:rPr>
      </w:pPr>
      <w:r w:rsidRPr="00B00802">
        <w:rPr>
          <w:rFonts w:cstheme="minorHAnsi"/>
        </w:rPr>
        <w:t xml:space="preserve">Telefon za kontakt: </w:t>
      </w:r>
      <w:r w:rsidRPr="00B00802">
        <w:rPr>
          <w:rFonts w:cstheme="minorHAnsi"/>
        </w:rPr>
        <w:tab/>
      </w:r>
      <w:r w:rsidRPr="00B00802">
        <w:rPr>
          <w:rFonts w:cstheme="minorHAnsi"/>
        </w:rPr>
        <w:tab/>
      </w:r>
      <w:r w:rsidRPr="00B00802">
        <w:rPr>
          <w:rFonts w:cstheme="minorHAnsi"/>
        </w:rPr>
        <w:tab/>
      </w:r>
      <w:r w:rsidR="00B00802">
        <w:rPr>
          <w:rFonts w:cstheme="minorHAnsi"/>
        </w:rPr>
        <w:tab/>
      </w:r>
      <w:r w:rsidRPr="00B00802">
        <w:rPr>
          <w:rFonts w:cstheme="minorHAnsi"/>
        </w:rPr>
        <w:t>023377042</w:t>
      </w:r>
      <w:r w:rsidRPr="00B00802">
        <w:rPr>
          <w:rFonts w:cstheme="minorHAnsi"/>
        </w:rPr>
        <w:tab/>
      </w:r>
    </w:p>
    <w:p w14:paraId="49C4D8A1" w14:textId="4061411B" w:rsidR="00CC33C8" w:rsidRPr="00B00802" w:rsidRDefault="00CC33C8" w:rsidP="00CC33C8">
      <w:pPr>
        <w:spacing w:after="0"/>
        <w:rPr>
          <w:rFonts w:cstheme="minorHAnsi"/>
        </w:rPr>
      </w:pPr>
      <w:r w:rsidRPr="00B00802">
        <w:rPr>
          <w:rFonts w:cstheme="minorHAnsi"/>
        </w:rPr>
        <w:t>Osoba koja je izradila financijske izvještaje:</w:t>
      </w:r>
      <w:r w:rsidR="00B00802">
        <w:rPr>
          <w:rFonts w:cstheme="minorHAnsi"/>
        </w:rPr>
        <w:tab/>
      </w:r>
      <w:r w:rsidRPr="00B00802">
        <w:rPr>
          <w:rFonts w:cstheme="minorHAnsi"/>
        </w:rPr>
        <w:t xml:space="preserve">Jelena </w:t>
      </w:r>
      <w:proofErr w:type="spellStart"/>
      <w:r w:rsidRPr="00B00802">
        <w:rPr>
          <w:rFonts w:cstheme="minorHAnsi"/>
        </w:rPr>
        <w:t>Grbin</w:t>
      </w:r>
      <w:proofErr w:type="spellEnd"/>
      <w:r w:rsidRPr="00B00802">
        <w:rPr>
          <w:rFonts w:cstheme="minorHAnsi"/>
        </w:rPr>
        <w:t xml:space="preserve"> </w:t>
      </w:r>
      <w:r w:rsidRPr="00B00802">
        <w:rPr>
          <w:rFonts w:cstheme="minorHAnsi"/>
        </w:rPr>
        <w:tab/>
      </w:r>
      <w:r w:rsidRPr="00B00802">
        <w:rPr>
          <w:rFonts w:cstheme="minorHAnsi"/>
        </w:rPr>
        <w:tab/>
      </w:r>
      <w:r w:rsidRPr="00B00802">
        <w:rPr>
          <w:rFonts w:cstheme="minorHAnsi"/>
        </w:rPr>
        <w:tab/>
      </w:r>
    </w:p>
    <w:p w14:paraId="1FB761FF" w14:textId="77777777" w:rsidR="00CC33C8" w:rsidRPr="00B00802" w:rsidRDefault="00CC33C8" w:rsidP="00CC33C8">
      <w:pPr>
        <w:spacing w:after="0"/>
        <w:rPr>
          <w:rFonts w:cstheme="minorHAnsi"/>
        </w:rPr>
      </w:pPr>
    </w:p>
    <w:p w14:paraId="3A7C7515" w14:textId="77777777" w:rsidR="00B00802" w:rsidRDefault="00B00802" w:rsidP="00CC33C8">
      <w:pPr>
        <w:spacing w:after="0"/>
        <w:ind w:left="5664" w:firstLine="708"/>
        <w:rPr>
          <w:rFonts w:cstheme="minorHAnsi"/>
        </w:rPr>
      </w:pPr>
    </w:p>
    <w:p w14:paraId="6874122E" w14:textId="77777777" w:rsidR="00B00802" w:rsidRDefault="00B00802" w:rsidP="00CC33C8">
      <w:pPr>
        <w:spacing w:after="0"/>
        <w:ind w:left="5664" w:firstLine="708"/>
        <w:rPr>
          <w:rFonts w:cstheme="minorHAnsi"/>
        </w:rPr>
      </w:pPr>
    </w:p>
    <w:p w14:paraId="0255963E" w14:textId="77777777" w:rsidR="00B00802" w:rsidRDefault="00B00802" w:rsidP="00CC33C8">
      <w:pPr>
        <w:spacing w:after="0"/>
        <w:ind w:left="5664" w:firstLine="708"/>
        <w:rPr>
          <w:rFonts w:cstheme="minorHAnsi"/>
        </w:rPr>
      </w:pPr>
    </w:p>
    <w:p w14:paraId="16CDFC91" w14:textId="47EA4B3F" w:rsidR="00570F93" w:rsidRPr="00B00802" w:rsidRDefault="00CC33C8" w:rsidP="00CC33C8">
      <w:pPr>
        <w:spacing w:after="0"/>
        <w:ind w:left="5664" w:firstLine="708"/>
        <w:rPr>
          <w:rFonts w:cstheme="minorHAnsi"/>
        </w:rPr>
      </w:pPr>
      <w:r w:rsidRPr="00B00802">
        <w:rPr>
          <w:rFonts w:cstheme="minorHAnsi"/>
        </w:rPr>
        <w:t>Ravnatelj: Ante Mihić</w:t>
      </w:r>
    </w:p>
    <w:p w14:paraId="209A3F97" w14:textId="77777777" w:rsidR="00CC33C8" w:rsidRPr="00B00802" w:rsidRDefault="00CC33C8">
      <w:pPr>
        <w:spacing w:after="0"/>
        <w:ind w:left="5664" w:firstLine="708"/>
        <w:rPr>
          <w:rFonts w:cstheme="minorHAnsi"/>
          <w:color w:val="006600"/>
        </w:rPr>
      </w:pPr>
    </w:p>
    <w:sectPr w:rsidR="00CC33C8" w:rsidRPr="00B00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34EE5"/>
    <w:multiLevelType w:val="hybridMultilevel"/>
    <w:tmpl w:val="CC8CD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7364FB6"/>
    <w:multiLevelType w:val="hybridMultilevel"/>
    <w:tmpl w:val="91608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1C"/>
    <w:rsid w:val="00053A37"/>
    <w:rsid w:val="00067C4F"/>
    <w:rsid w:val="000A1B6C"/>
    <w:rsid w:val="001550B9"/>
    <w:rsid w:val="00172899"/>
    <w:rsid w:val="001F38EB"/>
    <w:rsid w:val="00250C56"/>
    <w:rsid w:val="00283BF5"/>
    <w:rsid w:val="002F28BD"/>
    <w:rsid w:val="00325BD6"/>
    <w:rsid w:val="00353A94"/>
    <w:rsid w:val="0047248A"/>
    <w:rsid w:val="004A6DAA"/>
    <w:rsid w:val="004A7A6F"/>
    <w:rsid w:val="00506C74"/>
    <w:rsid w:val="00570F93"/>
    <w:rsid w:val="005D1395"/>
    <w:rsid w:val="007B6474"/>
    <w:rsid w:val="007F530D"/>
    <w:rsid w:val="008820C9"/>
    <w:rsid w:val="008F0BFE"/>
    <w:rsid w:val="008F62EA"/>
    <w:rsid w:val="009A784F"/>
    <w:rsid w:val="00A10C59"/>
    <w:rsid w:val="00A75654"/>
    <w:rsid w:val="00B00802"/>
    <w:rsid w:val="00B67701"/>
    <w:rsid w:val="00BA6E63"/>
    <w:rsid w:val="00C45429"/>
    <w:rsid w:val="00C52A3A"/>
    <w:rsid w:val="00CC19B0"/>
    <w:rsid w:val="00CC33C8"/>
    <w:rsid w:val="00D75E1C"/>
    <w:rsid w:val="00D8230F"/>
    <w:rsid w:val="00F445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7DF8"/>
  <w15:chartTrackingRefBased/>
  <w15:docId w15:val="{3D3A5C13-5DED-4030-B97C-1A82AF85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75E1C"/>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5D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7735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2021-01-22T13:19:00Z</cp:lastPrinted>
  <dcterms:created xsi:type="dcterms:W3CDTF">2021-01-26T08:16:00Z</dcterms:created>
  <dcterms:modified xsi:type="dcterms:W3CDTF">2021-01-26T08:16:00Z</dcterms:modified>
</cp:coreProperties>
</file>