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7700"/>
        <w:gridCol w:w="1012"/>
      </w:tblGrid>
      <w:tr w:rsidR="00013CD3" w:rsidRPr="00507B22" w14:paraId="1C73190D" w14:textId="77777777" w:rsidTr="008347F7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78349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47272" w14:textId="3268DAF4" w:rsidR="00013CD3" w:rsidRPr="00507B22" w:rsidRDefault="0044112A" w:rsidP="003947E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KRITERIJ</w:t>
            </w:r>
            <w:r w:rsidR="003947E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947E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ODABIRA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73AA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Bodovi </w:t>
            </w:r>
          </w:p>
        </w:tc>
      </w:tr>
      <w:tr w:rsidR="00013CD3" w:rsidRPr="00507B22" w14:paraId="3AF8B05A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0694DA86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178FEF25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EKONOMSKI KRITERIJI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07D61538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  <w:t xml:space="preserve">Najviše </w:t>
            </w:r>
            <w:r w:rsidRPr="00507B22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  <w:t>35</w:t>
            </w:r>
            <w:r w:rsidRPr="00507B22"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  <w:t>% </w:t>
            </w:r>
          </w:p>
        </w:tc>
      </w:tr>
      <w:tr w:rsidR="00013CD3" w:rsidRPr="00507B22" w14:paraId="1E009F73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1925092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529F61D" w14:textId="6343507D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Veličina gospodarstva </w:t>
            </w:r>
            <w:r w:rsidR="003651A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SO</w:t>
            </w:r>
            <w:r w:rsidR="003651A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/ broj članova zadruge ili proizvođačke organizacije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05D380C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8%</w:t>
            </w:r>
          </w:p>
        </w:tc>
      </w:tr>
      <w:tr w:rsidR="00013CD3" w:rsidRPr="00507B22" w14:paraId="311C2547" w14:textId="77777777" w:rsidTr="008347F7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EF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  <w:p w14:paraId="0D38E34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  <w:p w14:paraId="5A74D052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157" w14:textId="54CBDD83" w:rsidR="00013CD3" w:rsidRPr="00E23754" w:rsidRDefault="00013CD3" w:rsidP="004B317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 xml:space="preserve">15.000 - </w:t>
            </w:r>
            <w:r w:rsidR="004B317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99.999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/z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adruga ili proizvođačka organizacija sa &gt;35 članova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017F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  <w:t>8</w:t>
            </w:r>
          </w:p>
        </w:tc>
      </w:tr>
      <w:tr w:rsidR="00013CD3" w:rsidRPr="00507B22" w14:paraId="0079BF3D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ADA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0AA" w14:textId="77777777" w:rsidR="00013CD3" w:rsidRPr="00E23754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100.000 - 250.000/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zadruga ili proizvođačka organizacija sa 26 - 35 članova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50F0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  <w:t>6</w:t>
            </w:r>
          </w:p>
        </w:tc>
      </w:tr>
      <w:tr w:rsidR="00013CD3" w:rsidRPr="00507B22" w14:paraId="2E1B375C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58A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9AE" w14:textId="77777777" w:rsidR="00013CD3" w:rsidRPr="00E23754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&lt;15.000/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zadruga il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 xml:space="preserve">i proizvođačka organizacija sa 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16 - 25 članova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8C2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  <w:t>4</w:t>
            </w:r>
          </w:p>
        </w:tc>
      </w:tr>
      <w:tr w:rsidR="00013CD3" w:rsidRPr="00507B22" w14:paraId="0BB5066F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6B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F13" w14:textId="77777777" w:rsidR="00013CD3" w:rsidRPr="00E23754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&gt; 250.000/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zadruga ili p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>roizvođačka organizacija sa 7 -</w:t>
            </w:r>
            <w:r w:rsidRPr="00E23754">
              <w:rPr>
                <w:rFonts w:ascii="Calibri Light" w:eastAsia="Times New Roman" w:hAnsi="Calibri Light" w:cs="Calibri Light"/>
                <w:color w:val="000000"/>
                <w:sz w:val="20"/>
                <w:lang w:eastAsia="hr-HR"/>
              </w:rPr>
              <w:t xml:space="preserve"> 15 članova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7F85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hr-HR"/>
              </w:rPr>
              <w:t>2</w:t>
            </w:r>
          </w:p>
        </w:tc>
      </w:tr>
      <w:tr w:rsidR="00013CD3" w:rsidRPr="00507B22" w14:paraId="1F579CAC" w14:textId="77777777" w:rsidTr="008347F7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AC4802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F74477C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Kompleksnost ulaganja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AE71D30" w14:textId="77777777" w:rsidR="00013CD3" w:rsidRPr="00507B22" w:rsidRDefault="003D3569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013CD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AE7B13" w:rsidRPr="00507B22" w14:paraId="1C9A0E26" w14:textId="77777777" w:rsidTr="008347F7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2AFA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  <w:p w14:paraId="5CD7B75F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AFC5" w14:textId="1CC7A622" w:rsidR="00AE7B13" w:rsidRDefault="00AE7B13" w:rsidP="00FC61B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Rekonstrukcija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i opremanje postojećih </w:t>
            </w:r>
            <w:r w:rsidRPr="00AE5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zatvorenih/zaštićenih prostora 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li</w:t>
            </w:r>
            <w:r w:rsidRPr="00AE5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objekata</w:t>
            </w:r>
            <w:r w:rsidR="00756A9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za skladištenje i/ili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čuvanje primarnih poljoprivrednih proizvoda</w:t>
            </w:r>
            <w:r w:rsidRPr="00AE5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ili restrukturiranje </w:t>
            </w:r>
            <w:r w:rsidRPr="00D10E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vinograda stolnih </w:t>
            </w:r>
            <w:proofErr w:type="spellStart"/>
            <w:r w:rsidRPr="00D10E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kultivara</w:t>
            </w:r>
            <w:proofErr w:type="spellEnd"/>
            <w:r w:rsidRPr="00D10E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(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min. 50 % prihvatljivih troškova u projektu)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DD" w14:textId="77777777" w:rsidR="00AE7B1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AE7B13" w:rsidRPr="00507B22" w14:paraId="0A7718BF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4AE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EFC" w14:textId="217D6767" w:rsidR="00AE7B13" w:rsidRPr="00507B22" w:rsidRDefault="00372BD8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Kupnja </w:t>
            </w:r>
            <w:r w:rsidR="00AE7B1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mehanizacije i/ili opreme</w:t>
            </w:r>
            <w:r w:rsidR="003466B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(min. 40% </w:t>
            </w:r>
            <w:r w:rsidR="003466B4" w:rsidRPr="003466B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prihvatljivih troškova u projektu</w:t>
            </w:r>
            <w:r w:rsidR="003466B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B958" w14:textId="77777777" w:rsidR="00AE7B1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E7B13" w:rsidRPr="00507B22" w14:paraId="28287F3F" w14:textId="77777777" w:rsidTr="006066EB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E92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FF2" w14:textId="621FDD9B" w:rsidR="00AE7B13" w:rsidRPr="00507B22" w:rsidRDefault="00AE7B13" w:rsidP="001B75E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Izgradnja i opremanje novog</w:t>
            </w:r>
            <w: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zatvorenog/zaštićenog</w:t>
            </w:r>
            <w:r w:rsidRPr="00E426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prostora ili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objekta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za </w:t>
            </w:r>
            <w:r w:rsidRPr="008E585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skladi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štenje </w:t>
            </w:r>
            <w:r w:rsidR="003A69C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i/ili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čuvanje </w:t>
            </w:r>
            <w:r w:rsidRPr="00A9207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primarnih poljoprivrednih proizvoda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i podizanje novih vinograda</w:t>
            </w:r>
            <w:r w:rsidRPr="00A9207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(min</w:t>
            </w:r>
            <w:r w:rsidR="001B75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.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70% prihvatljivih troškova u projektu)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06A4" w14:textId="77777777" w:rsidR="00AE7B1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3CD3" w:rsidRPr="00507B22" w14:paraId="277846BC" w14:textId="77777777" w:rsidTr="008347F7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F"/>
            <w:vAlign w:val="center"/>
            <w:hideMark/>
          </w:tcPr>
          <w:p w14:paraId="549E263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D5EF"/>
            <w:noWrap/>
            <w:vAlign w:val="center"/>
            <w:hideMark/>
          </w:tcPr>
          <w:p w14:paraId="522DEB9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Zajednički projekt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D5EF"/>
            <w:vAlign w:val="center"/>
          </w:tcPr>
          <w:p w14:paraId="46B4F71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5%</w:t>
            </w:r>
          </w:p>
        </w:tc>
      </w:tr>
      <w:tr w:rsidR="00013CD3" w:rsidRPr="00507B22" w14:paraId="4840B56D" w14:textId="77777777" w:rsidTr="008347F7">
        <w:trPr>
          <w:trHeight w:val="322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6D2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E06B" w14:textId="77777777" w:rsidR="00013CD3" w:rsidRPr="00F76B14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Zajednički projekt provodi </w:t>
            </w:r>
            <w:r w:rsidRPr="008A51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 ili više partnera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B87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13CD3" w:rsidRPr="00507B22" w14:paraId="48B78F4C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F6F4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DF1B" w14:textId="77777777" w:rsidR="00013CD3" w:rsidRPr="00F76B14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Z</w:t>
            </w:r>
            <w:r w:rsidRPr="008A51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ajednički projekt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provodi 3 - 4</w:t>
            </w:r>
            <w:r w:rsidRPr="008A51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partnera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015F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7E1C7DCE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501452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CC5D9C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Spremnost projekta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2D3FA7F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3%</w:t>
            </w:r>
          </w:p>
        </w:tc>
      </w:tr>
      <w:tr w:rsidR="00013CD3" w:rsidRPr="00507B22" w14:paraId="611A5526" w14:textId="77777777" w:rsidTr="008347F7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536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  <w:p w14:paraId="4E7465B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DFA" w14:textId="65E765E1" w:rsidR="00013CD3" w:rsidRPr="00507B22" w:rsidRDefault="00692DD8" w:rsidP="00692DD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U</w:t>
            </w:r>
            <w:r w:rsidR="00013CD3"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prvoj fazi natječaja priložena je pravomoćna građevinska dozvola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7C81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28A5A0E8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F6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B9B" w14:textId="73030797" w:rsidR="00013CD3" w:rsidRPr="00507B22" w:rsidRDefault="006B0CF4" w:rsidP="006B0CF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U prvoj fazi natječaj</w:t>
            </w:r>
            <w:r w:rsidR="00FC6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priložen je Glavni projekt (građevinska dozvola bit će </w:t>
            </w:r>
            <w:r w:rsidR="00013CD3"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priložena u drugoj fazi natječaja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)</w:t>
            </w:r>
            <w:r w:rsidR="00013CD3"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98B2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6DC42E00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51ABF9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E35FA5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Ulaganje doprinosi stvaranju novih radnih mjesta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7D1FC2E" w14:textId="77777777" w:rsidR="00013CD3" w:rsidRPr="00507B22" w:rsidRDefault="003D3569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="00013CD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3D3569" w:rsidRPr="00507B22" w14:paraId="1899C91E" w14:textId="77777777" w:rsidTr="008347F7">
        <w:trPr>
          <w:trHeight w:val="300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A62C" w14:textId="77777777" w:rsidR="003D3569" w:rsidRPr="00507B22" w:rsidRDefault="003D3569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9650" w14:textId="4C209419" w:rsidR="003D3569" w:rsidRPr="006979F7" w:rsidRDefault="003D3569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Za 2 ili više novostvorenih radnih mjesta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5AF8" w14:textId="77777777" w:rsidR="003D3569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4F88AE7C" w14:textId="77777777" w:rsidTr="008347F7">
        <w:trPr>
          <w:trHeight w:val="300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54276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9C68" w14:textId="4BD8B52B" w:rsidR="00013CD3" w:rsidRPr="006979F7" w:rsidRDefault="00013CD3" w:rsidP="003651A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6979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Za novostvoreno radno mjesto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1F11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3CD3" w:rsidRPr="00507B22" w14:paraId="714450E6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A6A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6708" w14:textId="77777777" w:rsidR="00013CD3" w:rsidRPr="006979F7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6979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Projektom su očuvana postojeća radna mjesta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877C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60C06112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4E071E0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7D94FD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Dužina poslovanja korisnika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9C975FE" w14:textId="77777777" w:rsidR="00013CD3" w:rsidRPr="00507B22" w:rsidRDefault="003D3569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013CD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013CD3" w:rsidRPr="00507B22" w14:paraId="03576578" w14:textId="77777777" w:rsidTr="008347F7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A8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14:paraId="1EC4A24C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FFFE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Subjekt posluje &gt; 10 godina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3B0EE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13CD3" w:rsidRPr="00507B22" w14:paraId="523EA980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5940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CFFC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Subjekt posluje od 5 do 10 godina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A0F5" w14:textId="77777777" w:rsidR="00013CD3" w:rsidRPr="00507B22" w:rsidRDefault="00560CB0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309B5321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3D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CD7B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Subjekt posluje od 2 do 5 godina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B862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6002A379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1D0F66C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88A7A7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eastAsia="hr-HR"/>
              </w:rPr>
              <w:footnoteReference w:customMarkFollows="1" w:id="1"/>
              <w:t>Ekonomičnost ukupnog poslovanja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*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3899414" w14:textId="77777777" w:rsidR="00013CD3" w:rsidRPr="00507B22" w:rsidRDefault="003D3569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="00013CD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013CD3" w:rsidRPr="00507B22" w14:paraId="2E5E5946" w14:textId="77777777" w:rsidTr="008347F7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B7C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14:paraId="0164FEC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14:paraId="1A8F065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F11A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&gt;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15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7D8C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013CD3" w:rsidRPr="00507B22" w14:paraId="45302A7F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E1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5D2E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8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- 15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492CA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13CD3" w:rsidRPr="00507B22" w14:paraId="098A3282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F2E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07C4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- 8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E529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6E190BD5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6C30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2171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4 - 6%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6A1C7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56490A11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51E7E197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noWrap/>
            <w:vAlign w:val="center"/>
            <w:hideMark/>
          </w:tcPr>
          <w:p w14:paraId="47C63765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Sumarni prag prolaznosti na ekonomskim kriterijima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1A47F9DB" w14:textId="021D3D71" w:rsidR="00013CD3" w:rsidRPr="00507B22" w:rsidRDefault="004B3174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0"/>
                <w:szCs w:val="20"/>
                <w:lang w:eastAsia="hr-HR"/>
              </w:rPr>
            </w:pPr>
            <w:r w:rsidRPr="004B3174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40%</w:t>
            </w:r>
          </w:p>
        </w:tc>
      </w:tr>
      <w:tr w:rsidR="00013CD3" w:rsidRPr="00507B22" w14:paraId="16961803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135"/>
            <w:noWrap/>
            <w:vAlign w:val="center"/>
            <w:hideMark/>
          </w:tcPr>
          <w:p w14:paraId="4B142144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135"/>
            <w:noWrap/>
            <w:vAlign w:val="center"/>
            <w:hideMark/>
          </w:tcPr>
          <w:p w14:paraId="5E4D078A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SEKTORSKI KRITERIJI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135"/>
            <w:vAlign w:val="center"/>
            <w:hideMark/>
          </w:tcPr>
          <w:p w14:paraId="4C27312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Najviše 25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</w:tr>
      <w:tr w:rsidR="00013CD3" w:rsidRPr="00507B22" w:rsidDel="00EF5643" w14:paraId="26B0B4D2" w14:textId="77777777" w:rsidTr="008347F7">
        <w:trPr>
          <w:trHeight w:val="29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1723F951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5A20642D" w14:textId="77777777" w:rsidR="00013CD3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hr-HR"/>
              </w:rPr>
              <w:t>Sektor (trenutna proizvodnja)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27B004B1" w14:textId="77777777" w:rsidR="00013CD3" w:rsidRPr="00507B22" w:rsidDel="00EF5643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25%</w:t>
            </w:r>
          </w:p>
        </w:tc>
      </w:tr>
      <w:tr w:rsidR="00013CD3" w:rsidRPr="00507B22" w:rsidDel="00EF5643" w14:paraId="7FEC53D8" w14:textId="77777777" w:rsidTr="008347F7">
        <w:trPr>
          <w:trHeight w:val="29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B0CE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CAD8" w14:textId="5941FA52" w:rsidR="00013CD3" w:rsidRPr="009B5BE6" w:rsidRDefault="00013CD3" w:rsidP="003D356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Š</w:t>
            </w:r>
            <w:r w:rsidRPr="009B5B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ećerna repa</w:t>
            </w:r>
            <w:r w:rsidR="003D35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(min. </w:t>
            </w:r>
            <w:r w:rsidR="001062D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  <w:r w:rsidR="003D356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0% ukupnih površina)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8B8C" w14:textId="77777777" w:rsidR="00013CD3" w:rsidRPr="005F29A1" w:rsidDel="00EF5643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25</w:t>
            </w:r>
          </w:p>
        </w:tc>
      </w:tr>
      <w:tr w:rsidR="00013CD3" w:rsidRPr="00507B22" w:rsidDel="00EF5643" w14:paraId="4B135792" w14:textId="77777777" w:rsidTr="008347F7">
        <w:trPr>
          <w:trHeight w:val="29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B71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3F34" w14:textId="77777777" w:rsidR="00013CD3" w:rsidRPr="009B5BE6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9B5B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Vinogradarstvo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5680" w14:textId="77777777" w:rsidR="00013CD3" w:rsidRPr="005F29A1" w:rsidDel="00EF5643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</w:tr>
      <w:tr w:rsidR="00013CD3" w:rsidRPr="00507B22" w:rsidDel="00EF5643" w14:paraId="3F3F3B98" w14:textId="77777777" w:rsidTr="008347F7">
        <w:trPr>
          <w:trHeight w:val="29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6B88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2509" w14:textId="1625EF50" w:rsidR="00013CD3" w:rsidRPr="009B5BE6" w:rsidRDefault="005D4078" w:rsidP="005D40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I</w:t>
            </w:r>
            <w:r w:rsidR="00013CD3" w:rsidRPr="009B5B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ndustrijsko bilje (suncokret, uljana repica, konoplja, duhan, hmelj</w:t>
            </w:r>
            <w:r w:rsidR="00013CD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, lan, </w:t>
            </w:r>
            <w:r w:rsidR="00332B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soja, </w:t>
            </w:r>
            <w:r w:rsidR="00013CD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ljekovito, začinsko i aromatično bilje)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1EF" w14:textId="77777777" w:rsidR="00013CD3" w:rsidRPr="005F29A1" w:rsidDel="00EF5643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19</w:t>
            </w:r>
          </w:p>
        </w:tc>
      </w:tr>
      <w:tr w:rsidR="00013CD3" w:rsidRPr="00507B22" w:rsidDel="00EF5643" w14:paraId="493BBE83" w14:textId="77777777" w:rsidTr="008347F7">
        <w:trPr>
          <w:trHeight w:val="29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407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A45" w14:textId="52328AEB" w:rsidR="00013CD3" w:rsidRPr="009B5BE6" w:rsidRDefault="00013CD3" w:rsidP="00332BD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9B5B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Žitarice i heljda (pšenica, raž, ječam, zob,</w:t>
            </w:r>
            <w:r w:rsidR="00332B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332B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pšenoraž</w:t>
            </w:r>
            <w:proofErr w:type="spellEnd"/>
            <w:r w:rsidR="00332B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, kukuruz, proso, </w:t>
            </w:r>
            <w:r w:rsidR="00196E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pravi </w:t>
            </w:r>
            <w:r w:rsidR="00C003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pir, </w:t>
            </w:r>
            <w:r w:rsidRPr="009B5B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sirak i heljda)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27ED" w14:textId="77777777" w:rsidR="00013CD3" w:rsidRPr="005F29A1" w:rsidDel="00EF5643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17</w:t>
            </w:r>
          </w:p>
        </w:tc>
      </w:tr>
      <w:tr w:rsidR="00013CD3" w:rsidRPr="00507B22" w:rsidDel="00EF5643" w14:paraId="7DD9CFDF" w14:textId="77777777" w:rsidTr="008347F7">
        <w:trPr>
          <w:trHeight w:val="29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748B" w14:textId="77777777" w:rsidR="00013CD3" w:rsidDel="003C3B96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C0E1" w14:textId="77777777" w:rsidR="00013CD3" w:rsidRPr="009B5BE6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9A3FB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Cvijeće i ukrasno bilje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3D0B" w14:textId="77777777" w:rsidR="00013CD3" w:rsidRPr="005F29A1" w:rsidDel="00EF5643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013CD3" w:rsidRPr="00507B22" w14:paraId="7351F88B" w14:textId="77777777" w:rsidTr="008347F7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808880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579C01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KRITERIJ LOKACIJE ULAGANJA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E08D14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Najviše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013CD3" w:rsidRPr="00507B22" w14:paraId="66ECEFD5" w14:textId="77777777" w:rsidTr="008347F7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  <w:hideMark/>
          </w:tcPr>
          <w:p w14:paraId="2AB8E595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  <w:hideMark/>
          </w:tcPr>
          <w:p w14:paraId="124C4CFD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Indeks razvijenosti JLS-a (prema mjestu ulaganja</w:t>
            </w:r>
            <w:r w:rsidR="003D356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/sjedištu korisnika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  <w:hideMark/>
          </w:tcPr>
          <w:p w14:paraId="143240C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20%</w:t>
            </w:r>
          </w:p>
        </w:tc>
      </w:tr>
      <w:tr w:rsidR="005E53BD" w:rsidRPr="00507B22" w14:paraId="15D5A966" w14:textId="77777777" w:rsidTr="00001693">
        <w:trPr>
          <w:trHeight w:val="25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A5C8" w14:textId="77777777" w:rsidR="005E53BD" w:rsidRPr="00507B22" w:rsidRDefault="005E53BD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B69C" w14:textId="77777777" w:rsidR="005E53BD" w:rsidRPr="00507B22" w:rsidRDefault="005E53BD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Ulaganje na području JLS-a koje pripada 1. ili 2. skupini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470E" w14:textId="77777777" w:rsidR="005E53BD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20</w:t>
            </w:r>
          </w:p>
        </w:tc>
      </w:tr>
      <w:tr w:rsidR="005E53BD" w:rsidRPr="00507B22" w14:paraId="47383515" w14:textId="77777777" w:rsidTr="00001693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06234" w14:textId="77777777" w:rsidR="005E53BD" w:rsidRPr="00507B22" w:rsidRDefault="005E53BD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4EEB" w14:textId="77777777" w:rsidR="005E53BD" w:rsidRPr="00507B22" w:rsidRDefault="005E53BD" w:rsidP="005E53B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Ulaganja na području JLS-a koje pripada 3.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ili 4. 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skupini + JLS-ovi na otocima i brdsko-planinskom području koji su razvrstani u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5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. i</w:t>
            </w:r>
            <w:r w:rsidR="009A7B6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li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6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. skupinu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41AB" w14:textId="77777777" w:rsidR="005E53BD" w:rsidRPr="00507B22" w:rsidRDefault="00402BF1" w:rsidP="005E53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5E53BD" w:rsidRPr="00507B22" w14:paraId="28AE39DF" w14:textId="77777777" w:rsidTr="00001693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9390D" w14:textId="77777777" w:rsidR="005E53BD" w:rsidRPr="00507B22" w:rsidRDefault="005E53BD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7A12" w14:textId="77777777" w:rsidR="005E53BD" w:rsidRPr="00507B22" w:rsidRDefault="005E53BD" w:rsidP="005E53B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Ulaganja na području JLS-a koje pripada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ili 6. 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skupini </w:t>
            </w:r>
            <w:r w:rsidRPr="005E53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+ JLS-ovi na otocima i brdsko-planinskom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području koji su razvrstani u 7. i</w:t>
            </w:r>
            <w:r w:rsidR="009A7B6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li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8</w:t>
            </w:r>
            <w:r w:rsidRPr="005E53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. skupinu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CFEB" w14:textId="77777777" w:rsidR="005E53BD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5E53BD" w:rsidRPr="00507B22" w14:paraId="1317A004" w14:textId="77777777" w:rsidTr="00001693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F23" w14:textId="77777777" w:rsidR="005E53BD" w:rsidRPr="00507B22" w:rsidRDefault="005E53BD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E45C" w14:textId="77777777" w:rsidR="005E53BD" w:rsidRPr="00507B22" w:rsidRDefault="005E53BD" w:rsidP="005E53B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E53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Ulaganja na području JLS-a koje pripada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7</w:t>
            </w:r>
            <w:r w:rsidRPr="005E53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ili 8.</w:t>
            </w:r>
            <w:r w:rsidRPr="005E53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skupini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84AC" w14:textId="77777777" w:rsidR="005E53BD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13CD3" w:rsidRPr="00507B22" w14:paraId="39250906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  <w:hideMark/>
          </w:tcPr>
          <w:p w14:paraId="0C6271A7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  <w:hideMark/>
          </w:tcPr>
          <w:p w14:paraId="37AECFFC" w14:textId="3CE9A2DC" w:rsidR="00013CD3" w:rsidRPr="00507B22" w:rsidRDefault="00131935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Ulaganje u područjima s</w:t>
            </w:r>
            <w:r w:rsidR="00013CD3"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prirodnim ograničenjima i ostalim posebnim ograničenjima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486DD8DA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3%</w:t>
            </w:r>
          </w:p>
        </w:tc>
      </w:tr>
      <w:tr w:rsidR="00013CD3" w:rsidRPr="00507B22" w14:paraId="4B7C1D16" w14:textId="77777777" w:rsidTr="00AE7B1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FF3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0C72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Ulaganje se pretežito odvija u području sa značajnim prirodnim ograničenjima – ZPO (minimalno 50%)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25537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5D00FE9B" w14:textId="77777777" w:rsidTr="008347F7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5D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C26D6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 w:rsidRPr="00222011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Ulaganje se pretežito odvija u gorsko-planinsko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m</w:t>
            </w:r>
            <w:r w:rsidRPr="00222011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 području 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– GPP</w:t>
            </w:r>
            <w:r w:rsidRPr="00222011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 (minimalno 50%)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C9EA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3CD3" w:rsidRPr="00507B22" w14:paraId="47FE298D" w14:textId="77777777" w:rsidTr="00AE7B1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7008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8FB7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Ulaganje se pretežito odvija u području s posebnim ograničenjem - PPO (minimalno 50%)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82AC9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1EF449D0" w14:textId="77777777" w:rsidTr="008347F7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7C8CD977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noWrap/>
            <w:vAlign w:val="center"/>
            <w:hideMark/>
          </w:tcPr>
          <w:p w14:paraId="427FA2DD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HORIZONTALNI KRITERIJI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center"/>
            <w:hideMark/>
          </w:tcPr>
          <w:p w14:paraId="3597E335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Najviše 17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013CD3" w:rsidRPr="00507B22" w14:paraId="660C934C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CC07713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EA4C475" w14:textId="497DB824" w:rsidR="00013CD3" w:rsidRPr="00507B22" w:rsidRDefault="00013CD3" w:rsidP="009D4AC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Mladi poljoprivrednici</w:t>
            </w:r>
            <w:r w:rsidR="009D4A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2118AF4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4%</w:t>
            </w:r>
          </w:p>
        </w:tc>
      </w:tr>
      <w:tr w:rsidR="00AE7B13" w:rsidRPr="00507B22" w14:paraId="2D250AB2" w14:textId="77777777" w:rsidTr="0093481A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097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4C80" w14:textId="26A479CC" w:rsidR="00AE7B13" w:rsidRPr="00507B22" w:rsidRDefault="00AE7B1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Mladi poljoprivrednik je nositelj/odgovorna osoba/vlasnik </w:t>
            </w:r>
            <w:r w:rsidR="004B31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poljoprivrednog gospodarstva 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duže od 2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9474" w14:textId="77777777" w:rsidR="00AE7B1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AE7B13" w:rsidRPr="00507B22" w14:paraId="173FA0E3" w14:textId="77777777" w:rsidTr="0093481A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1F5E" w14:textId="77777777" w:rsidR="00AE7B13" w:rsidRPr="00507B22" w:rsidRDefault="00AE7B1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FE51" w14:textId="74FA20C0" w:rsidR="00AE7B13" w:rsidRPr="00507B22" w:rsidRDefault="00AE7B1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Mladi poljoprivrednik je nositelj/odgovorna osoba/vlasnik </w:t>
            </w:r>
            <w:r w:rsidR="004B3174" w:rsidRPr="004B31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poljoprivrednog gospodarstva </w:t>
            </w: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kraće od 2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2080" w14:textId="77777777" w:rsidR="00AE7B1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13CD3" w:rsidRPr="00507B22" w14:paraId="4140C148" w14:textId="77777777" w:rsidTr="008347F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F0BE01B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5A15C21" w14:textId="77777777" w:rsidR="00013CD3" w:rsidRPr="00507B22" w:rsidRDefault="00013CD3" w:rsidP="001336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Novi/inovativni </w:t>
            </w:r>
            <w:r w:rsidR="0013360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proizvod/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tehničko-tehnološki proces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A581C42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4%</w:t>
            </w:r>
          </w:p>
        </w:tc>
      </w:tr>
      <w:tr w:rsidR="00013CD3" w:rsidRPr="00507B22" w14:paraId="3D1F26C7" w14:textId="77777777" w:rsidTr="008347F7">
        <w:trPr>
          <w:trHeight w:val="34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E8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A81F" w14:textId="77777777" w:rsidR="00013CD3" w:rsidRPr="002A7725" w:rsidRDefault="00013CD3" w:rsidP="002A772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Projektom se uvodi </w:t>
            </w:r>
            <w:r w:rsidR="002A7725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novi/inovativni proizvod/tehničko-tehnološki </w:t>
            </w: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proces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 (isključujući </w:t>
            </w:r>
            <w:r w:rsidR="003D3569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mehanizaciju i 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plodored)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96FC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3CD3" w:rsidRPr="00507B22" w14:paraId="60213F7A" w14:textId="77777777" w:rsidTr="008347F7">
        <w:trPr>
          <w:trHeight w:val="29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6F1F62FA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222503FD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Doprinos ulaganja fokus područjima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116BB6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5%</w:t>
            </w:r>
          </w:p>
        </w:tc>
      </w:tr>
      <w:tr w:rsidR="00013CD3" w:rsidRPr="00507B22" w14:paraId="36CBF3BD" w14:textId="77777777" w:rsidTr="008347F7">
        <w:trPr>
          <w:trHeight w:val="364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2753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  <w:p w14:paraId="202A980F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  <w:p w14:paraId="1D184980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  <w:p w14:paraId="47C86301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AFD58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Ulaganje doprinosi boljem upravljanju vodama, uključujući upravljanje gnojivima i pesticidima  (fokus područje 4B)</w:t>
            </w:r>
            <w:r w:rsidRPr="00507B22">
              <w:rPr>
                <w:rFonts w:ascii="Calibri Light" w:eastAsia="Times New Roman" w:hAnsi="Calibri Light" w:cs="Calibri Light"/>
                <w:bCs/>
                <w:color w:val="008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0CF6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11E8F8FE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603E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0868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Ulaganje doprinosi sprečavanju erozije tla i bolje upravljanje tlom (fokus područje  4C)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66E79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349B8DAB" w14:textId="77777777" w:rsidTr="008347F7">
        <w:trPr>
          <w:trHeight w:val="57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45E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78D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Ulaganje doprinosi povećanju učinkovitosti u korištenju vode u poljoprivredi (fokus područje 5A)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680D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24512251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B5E2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7400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Ulaganje doprinosi povećanju učinkovitosti u korištenju energije u poljoprivredi i preradi hrane (fokus područje  5B)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CFC1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21366DDE" w14:textId="77777777" w:rsidTr="008347F7">
        <w:trPr>
          <w:trHeight w:val="16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300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BF7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hr-HR"/>
              </w:rPr>
              <w:t xml:space="preserve">Ulaganje doprinosi smanjenju emisije stakleničkih plinova i amonijaka iz poljoprivrede (fokus područje 5D)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0122E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3CD3" w:rsidRPr="00507B22" w14:paraId="0D258AC7" w14:textId="77777777" w:rsidTr="008347F7">
        <w:trPr>
          <w:trHeight w:val="29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0219A9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4337A00" w14:textId="77777777" w:rsidR="00013CD3" w:rsidRPr="00507B22" w:rsidRDefault="00013CD3" w:rsidP="004F4F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Stručna sprema i radno iskustvo nositelja</w:t>
            </w:r>
            <w:r w:rsidR="003D356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odgovorne osobe</w:t>
            </w:r>
            <w:r w:rsidR="003D356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zaposlenika</w:t>
            </w:r>
            <w:r w:rsidR="003D356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/člana</w:t>
            </w: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5DC3D39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4%</w:t>
            </w:r>
          </w:p>
        </w:tc>
      </w:tr>
      <w:tr w:rsidR="00013CD3" w:rsidRPr="00507B22" w14:paraId="1A311158" w14:textId="77777777" w:rsidTr="008347F7">
        <w:trPr>
          <w:trHeight w:val="510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AA50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BDD7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Završen preddiplomski ili preddiplomski i diplomski sveučilišni studij ili integrirani preddiplomski i diplomski sveučilišni studij ili specijalistički diplomski stručni studij agronomske, šumarske, veterinarske ili biotehnološke struke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C7D5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3CD3" w:rsidRPr="00507B22" w14:paraId="0655B2F5" w14:textId="77777777" w:rsidTr="008347F7">
        <w:trPr>
          <w:trHeight w:val="23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2413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534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8 ili više godina iskustva u poljoprivredi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FFBC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3CD3" w:rsidRPr="00507B22" w14:paraId="257EAE9D" w14:textId="77777777" w:rsidTr="008347F7">
        <w:trPr>
          <w:trHeight w:val="27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472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008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Srednja stručna sprema agronomske, šumarske, veterinarske ili biotehnološke struke</w:t>
            </w:r>
            <w:r w:rsidRPr="00507B22" w:rsidDel="00E3514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EBD9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3CD3" w:rsidRPr="00507B22" w14:paraId="325442F4" w14:textId="77777777" w:rsidTr="008347F7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7B28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0E6" w14:textId="77777777" w:rsidR="00013CD3" w:rsidRPr="00507B22" w:rsidRDefault="00013CD3" w:rsidP="008347F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4 do 8 godina iskustva u poljoprivredi</w:t>
            </w:r>
            <w:r w:rsidRPr="00507B22" w:rsidDel="00E3514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5734" w14:textId="77777777" w:rsidR="00013CD3" w:rsidRPr="00507B22" w:rsidRDefault="00402BF1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3CD3" w:rsidRPr="00507B22" w14:paraId="7C8F0AF8" w14:textId="77777777" w:rsidTr="008347F7">
        <w:trPr>
          <w:trHeight w:val="300"/>
        </w:trPr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9550B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 xml:space="preserve">MAKSIMALNI BROJ BODOVA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606EFF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  <w:tr w:rsidR="00013CD3" w:rsidRPr="00507B22" w14:paraId="567E37E4" w14:textId="77777777" w:rsidTr="008347F7">
        <w:trPr>
          <w:trHeight w:val="300"/>
        </w:trPr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03C" w14:textId="77777777" w:rsidR="00013CD3" w:rsidRPr="00507B22" w:rsidRDefault="00013CD3" w:rsidP="008347F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PRAG PROLAZNOSTI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F8641" w14:textId="77777777" w:rsidR="00013CD3" w:rsidRPr="00507B22" w:rsidRDefault="00013CD3" w:rsidP="008347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07B2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hr-HR"/>
              </w:rPr>
              <w:t>40%</w:t>
            </w:r>
          </w:p>
        </w:tc>
      </w:tr>
    </w:tbl>
    <w:p w14:paraId="068E822B" w14:textId="77777777" w:rsidR="00013CD3" w:rsidRPr="00003973" w:rsidRDefault="00013CD3" w:rsidP="00013CD3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>*</w:t>
      </w:r>
      <w:r w:rsidRPr="00003973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Izračun ekonomičnosti poslovanja</w:t>
      </w:r>
    </w:p>
    <w:p w14:paraId="2424689D" w14:textId="77777777" w:rsidR="00013CD3" w:rsidRPr="00003973" w:rsidRDefault="00013CD3" w:rsidP="00013CD3">
      <w:pPr>
        <w:spacing w:after="160" w:line="256" w:lineRule="auto"/>
        <w:ind w:left="142" w:firstLine="142"/>
        <w:contextualSpacing/>
        <w:rPr>
          <w:rFonts w:ascii="Calibri" w:eastAsia="Calibri" w:hAnsi="Calibri" w:cs="Times New Roman"/>
        </w:rPr>
      </w:pPr>
    </w:p>
    <w:p w14:paraId="23CE2355" w14:textId="77777777" w:rsidR="00013CD3" w:rsidRPr="00003973" w:rsidRDefault="00013CD3" w:rsidP="00013CD3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003973">
        <w:rPr>
          <w:rFonts w:ascii="Calibri Light" w:eastAsia="Times New Roman" w:hAnsi="Calibri Light" w:cs="Times New Roman"/>
          <w:color w:val="2E74B5"/>
          <w:sz w:val="26"/>
          <w:szCs w:val="26"/>
        </w:rPr>
        <w:lastRenderedPageBreak/>
        <w:t>Obveznici poreza na dobit</w:t>
      </w:r>
      <w:r w:rsidRPr="00003973">
        <w:rPr>
          <w:rFonts w:ascii="Calibri Light" w:eastAsia="Times New Roman" w:hAnsi="Calibri Light" w:cs="Times New Roman"/>
          <w:color w:val="2E74B5"/>
          <w:sz w:val="26"/>
          <w:szCs w:val="26"/>
          <w:vertAlign w:val="superscript"/>
        </w:rPr>
        <w:footnoteReference w:id="2"/>
      </w:r>
      <w:r w:rsidRPr="00003973">
        <w:rPr>
          <w:rFonts w:ascii="Calibri Light" w:eastAsia="Times New Roman" w:hAnsi="Calibri Light" w:cs="Times New Roman"/>
          <w:color w:val="2E74B5"/>
          <w:sz w:val="26"/>
          <w:szCs w:val="26"/>
        </w:rPr>
        <w:t>:</w:t>
      </w:r>
    </w:p>
    <w:p w14:paraId="362E349E" w14:textId="77777777" w:rsidR="00013CD3" w:rsidRPr="00003973" w:rsidRDefault="00013CD3" w:rsidP="00013CD3">
      <w:pPr>
        <w:spacing w:after="160" w:line="259" w:lineRule="auto"/>
        <w:ind w:firstLine="708"/>
        <w:rPr>
          <w:rFonts w:ascii="Calibri" w:eastAsia="Times New Roman" w:hAnsi="Calibri" w:cs="Times New Roman"/>
        </w:rPr>
      </w:pPr>
    </w:p>
    <w:p w14:paraId="25A568D7" w14:textId="77777777" w:rsidR="00013CD3" w:rsidRPr="00003973" w:rsidRDefault="00013CD3" w:rsidP="00013CD3">
      <w:pPr>
        <w:spacing w:after="160" w:line="259" w:lineRule="auto"/>
        <w:ind w:firstLine="708"/>
        <w:rPr>
          <w:rFonts w:ascii="Calibri" w:eastAsia="Calibri" w:hAnsi="Calibri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Ekonomi</m:t>
          </m:r>
          <m:r>
            <w:rPr>
              <w:rFonts w:ascii="Cambria Math" w:eastAsia="Calibri" w:hAnsi="Cambria Math" w:cs="Times New Roman" w:hint="eastAsia"/>
            </w:rPr>
            <m:t>č</m:t>
          </m:r>
          <m:r>
            <w:rPr>
              <w:rFonts w:ascii="Cambria Math" w:eastAsia="Calibri" w:hAnsi="Cambria Math" w:cs="Times New Roman"/>
            </w:rPr>
            <m:t>nost poslovanja=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poslovni prihodi-poslovni rashodi+amortizacija</m:t>
              </m:r>
            </m:num>
            <m:den>
              <m:r>
                <w:rPr>
                  <w:rFonts w:ascii="Cambria Math" w:eastAsia="Calibri" w:hAnsi="Cambria Math" w:cs="Times New Roman"/>
                </w:rPr>
                <m:t xml:space="preserve">poslovni prihodi </m:t>
              </m:r>
            </m:den>
          </m:f>
          <m:r>
            <w:rPr>
              <w:rFonts w:ascii="Cambria Math" w:eastAsia="Calibri" w:hAnsi="Cambria Math" w:cs="Times New Roman"/>
            </w:rPr>
            <m:t>*100</m:t>
          </m:r>
        </m:oMath>
      </m:oMathPara>
    </w:p>
    <w:p w14:paraId="55B3D8F8" w14:textId="77777777" w:rsidR="00013CD3" w:rsidRPr="00003973" w:rsidRDefault="00013CD3" w:rsidP="00013CD3">
      <w:pPr>
        <w:spacing w:after="160" w:line="256" w:lineRule="auto"/>
        <w:ind w:left="426"/>
        <w:contextualSpacing/>
        <w:rPr>
          <w:rFonts w:ascii="Calibri" w:eastAsia="Calibri" w:hAnsi="Calibri" w:cs="Times New Roman"/>
          <w:b/>
        </w:rPr>
      </w:pPr>
    </w:p>
    <w:p w14:paraId="6F978C44" w14:textId="77777777" w:rsidR="00013CD3" w:rsidRPr="00003973" w:rsidRDefault="00013CD3" w:rsidP="00013CD3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003973">
        <w:rPr>
          <w:rFonts w:ascii="Calibri Light" w:eastAsia="Times New Roman" w:hAnsi="Calibri Light" w:cs="Times New Roman"/>
          <w:color w:val="2E74B5"/>
          <w:sz w:val="26"/>
          <w:szCs w:val="26"/>
        </w:rPr>
        <w:t>Obveznici poreza da dohodak koji vode poslovne knjige i evidencije sukladno članku 34. Zakona o porezu na dohodak (NN 115/16)</w:t>
      </w:r>
      <w:r w:rsidRPr="00003973">
        <w:rPr>
          <w:rFonts w:ascii="Calibri Light" w:eastAsia="Times New Roman" w:hAnsi="Calibri Light" w:cs="Times New Roman"/>
          <w:color w:val="2E74B5"/>
          <w:sz w:val="26"/>
          <w:szCs w:val="26"/>
          <w:vertAlign w:val="superscript"/>
        </w:rPr>
        <w:footnoteReference w:id="3"/>
      </w:r>
      <w:r w:rsidRPr="00003973">
        <w:rPr>
          <w:rFonts w:ascii="Calibri Light" w:eastAsia="Times New Roman" w:hAnsi="Calibri Light" w:cs="Times New Roman"/>
          <w:color w:val="2E74B5"/>
          <w:sz w:val="26"/>
          <w:szCs w:val="26"/>
        </w:rPr>
        <w:t xml:space="preserve">: </w:t>
      </w:r>
    </w:p>
    <w:p w14:paraId="23ECF54E" w14:textId="77777777" w:rsidR="00013CD3" w:rsidRPr="00003973" w:rsidRDefault="00013CD3" w:rsidP="00013CD3">
      <w:pPr>
        <w:spacing w:after="160" w:line="259" w:lineRule="auto"/>
        <w:rPr>
          <w:rFonts w:ascii="Calibri" w:eastAsia="Times New Roman" w:hAnsi="Calibri" w:cs="Times New Roman"/>
          <w:iCs/>
        </w:rPr>
      </w:pPr>
    </w:p>
    <w:p w14:paraId="548B7AB1" w14:textId="77777777" w:rsidR="00013CD3" w:rsidRPr="00003973" w:rsidRDefault="00013CD3" w:rsidP="00013CD3">
      <w:pPr>
        <w:spacing w:after="160" w:line="259" w:lineRule="auto"/>
        <w:rPr>
          <w:rFonts w:ascii="Calibri" w:eastAsia="Calibri" w:hAnsi="Calibri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Ekonomi</m:t>
          </m:r>
          <m:r>
            <w:rPr>
              <w:rFonts w:ascii="Cambria Math" w:eastAsia="Calibri" w:hAnsi="Cambria Math" w:cs="Times New Roman" w:hint="eastAsia"/>
            </w:rPr>
            <m:t>č</m:t>
          </m:r>
          <m:r>
            <w:rPr>
              <w:rFonts w:ascii="Cambria Math" w:eastAsia="Calibri" w:hAnsi="Cambria Math" w:cs="Times New Roman"/>
            </w:rPr>
            <m:t>nost poslovanja=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ukupni primici -ukupni izdaci +amortizacija</m:t>
              </m:r>
            </m:num>
            <m:den>
              <m:r>
                <w:rPr>
                  <w:rFonts w:ascii="Cambria Math" w:eastAsia="Calibri" w:hAnsi="Cambria Math" w:cs="Times New Roman"/>
                </w:rPr>
                <m:t>ukupni primici</m:t>
              </m:r>
            </m:den>
          </m:f>
          <m:r>
            <w:rPr>
              <w:rFonts w:ascii="Cambria Math" w:eastAsia="Calibri" w:hAnsi="Cambria Math" w:cs="Times New Roman"/>
            </w:rPr>
            <m:t>*100</m:t>
          </m:r>
        </m:oMath>
      </m:oMathPara>
    </w:p>
    <w:p w14:paraId="05EEAB7A" w14:textId="77777777" w:rsidR="00013CD3" w:rsidRPr="00003973" w:rsidRDefault="00013CD3" w:rsidP="00013CD3">
      <w:pPr>
        <w:spacing w:after="160" w:line="256" w:lineRule="auto"/>
        <w:ind w:left="426"/>
        <w:contextualSpacing/>
        <w:rPr>
          <w:rFonts w:ascii="Calibri" w:eastAsia="Calibri" w:hAnsi="Calibri" w:cs="Times New Roman"/>
          <w:b/>
        </w:rPr>
      </w:pPr>
    </w:p>
    <w:p w14:paraId="51ED0545" w14:textId="77777777" w:rsidR="004B3174" w:rsidRDefault="004B3174" w:rsidP="00EC762A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14:paraId="6BEF72DE" w14:textId="77777777" w:rsidR="00EC762A" w:rsidRDefault="00EC762A" w:rsidP="00EC762A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Proračunski korisnici</w:t>
      </w:r>
      <w:r w:rsidRPr="00003973">
        <w:rPr>
          <w:rFonts w:ascii="Calibri Light" w:eastAsia="Times New Roman" w:hAnsi="Calibri Light" w:cs="Times New Roman"/>
          <w:color w:val="2E74B5"/>
          <w:sz w:val="26"/>
          <w:szCs w:val="26"/>
          <w:vertAlign w:val="superscript"/>
        </w:rPr>
        <w:footnoteReference w:id="4"/>
      </w:r>
    </w:p>
    <w:p w14:paraId="0BDB25AC" w14:textId="77777777" w:rsidR="004B3174" w:rsidRDefault="004B3174" w:rsidP="00EC762A">
      <w:pPr>
        <w:spacing w:after="0"/>
        <w:ind w:left="360"/>
        <w:jc w:val="both"/>
        <w:rPr>
          <w:rFonts w:ascii="Cambria Math" w:hAnsi="Cambria Math" w:cs="Times New Roman"/>
          <w:bCs/>
          <w:i/>
          <w:lang w:eastAsia="hr-HR"/>
        </w:rPr>
      </w:pPr>
    </w:p>
    <w:p w14:paraId="6C3EDE86" w14:textId="77777777" w:rsidR="00EC762A" w:rsidRPr="004B3174" w:rsidRDefault="00EC762A" w:rsidP="004B3174">
      <w:pPr>
        <w:keepNext/>
        <w:keepLines/>
        <w:spacing w:before="40" w:after="0" w:line="259" w:lineRule="auto"/>
        <w:jc w:val="center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B3174">
        <w:rPr>
          <w:rFonts w:ascii="Calibri Light" w:eastAsia="Times New Roman" w:hAnsi="Calibri Light" w:cs="Times New Roman"/>
          <w:color w:val="2E74B5"/>
          <w:sz w:val="26"/>
          <w:szCs w:val="26"/>
        </w:rPr>
        <w:t>Ekonomi</w:t>
      </w:r>
      <w:r w:rsidRPr="004B3174">
        <w:rPr>
          <w:rFonts w:ascii="Calibri Light" w:eastAsia="Times New Roman" w:hAnsi="Calibri Light" w:cs="Times New Roman" w:hint="eastAsia"/>
          <w:color w:val="2E74B5"/>
          <w:sz w:val="26"/>
          <w:szCs w:val="26"/>
        </w:rPr>
        <w:t>č</w:t>
      </w:r>
      <w:r w:rsidRPr="004B3174">
        <w:rPr>
          <w:rFonts w:ascii="Calibri Light" w:eastAsia="Times New Roman" w:hAnsi="Calibri Light" w:cs="Times New Roman"/>
          <w:color w:val="2E74B5"/>
          <w:sz w:val="26"/>
          <w:szCs w:val="26"/>
        </w:rPr>
        <w:t>nost poslovanja = (ukupni prihodi – ukupni rashodi + otpis/ispravak vrijednosti dugotrajne imovine)/ ukupni prihodi *100</w:t>
      </w:r>
    </w:p>
    <w:p w14:paraId="349159EF" w14:textId="77777777" w:rsidR="00EC762A" w:rsidRPr="00003973" w:rsidRDefault="00EC762A" w:rsidP="00913D11">
      <w:pPr>
        <w:spacing w:after="160" w:line="259" w:lineRule="auto"/>
        <w:rPr>
          <w:rFonts w:ascii="Calibri" w:eastAsia="Calibri" w:hAnsi="Calibri" w:cs="Times New Roman"/>
        </w:rPr>
      </w:pPr>
    </w:p>
    <w:p w14:paraId="6A755A52" w14:textId="77777777" w:rsidR="00013CD3" w:rsidRDefault="00013CD3" w:rsidP="00013CD3">
      <w:pPr>
        <w:spacing w:after="160" w:line="259" w:lineRule="auto"/>
      </w:pPr>
    </w:p>
    <w:p w14:paraId="3316ED88" w14:textId="77777777" w:rsidR="00013CD3" w:rsidRPr="003651A1" w:rsidRDefault="00013CD3" w:rsidP="00013CD3">
      <w:pPr>
        <w:pStyle w:val="Bezproreda"/>
        <w:jc w:val="both"/>
        <w:rPr>
          <w:b/>
        </w:rPr>
      </w:pPr>
      <w:r w:rsidRPr="003651A1">
        <w:rPr>
          <w:b/>
        </w:rPr>
        <w:t>DODATNA POJAŠNJENJA KRITERIJA ODABIRA</w:t>
      </w:r>
    </w:p>
    <w:p w14:paraId="11A349E9" w14:textId="517B48E0" w:rsidR="00013CD3" w:rsidRDefault="00013CD3" w:rsidP="00DE5B8A">
      <w:pPr>
        <w:pStyle w:val="Bezproreda"/>
        <w:ind w:firstLine="708"/>
        <w:jc w:val="both"/>
      </w:pPr>
    </w:p>
    <w:p w14:paraId="7A699ED0" w14:textId="485A9C6A" w:rsidR="00610B42" w:rsidRDefault="00610B42" w:rsidP="00013CD3">
      <w:pPr>
        <w:pStyle w:val="Bezproreda"/>
        <w:jc w:val="both"/>
      </w:pPr>
      <w:r w:rsidRPr="00DE5B8A">
        <w:t xml:space="preserve">U slučaju zajedničkog projekta, bodovi po kriteriju odabira 1, </w:t>
      </w:r>
      <w:r w:rsidR="006F2632" w:rsidRPr="00DE5B8A">
        <w:t>5, 6</w:t>
      </w:r>
      <w:r w:rsidRPr="00DE5B8A">
        <w:t>,</w:t>
      </w:r>
      <w:r w:rsidR="006F2632" w:rsidRPr="00DE5B8A">
        <w:t xml:space="preserve"> </w:t>
      </w:r>
      <w:r w:rsidRPr="00DE5B8A">
        <w:t>7,</w:t>
      </w:r>
      <w:r w:rsidR="00F46427" w:rsidRPr="00DE5B8A">
        <w:t xml:space="preserve"> 8,</w:t>
      </w:r>
      <w:r w:rsidRPr="00DE5B8A">
        <w:t xml:space="preserve"> 9, 10 i 14 dodjeljuju se </w:t>
      </w:r>
      <w:r w:rsidR="006F40AE" w:rsidRPr="00DE5B8A">
        <w:t xml:space="preserve"> temeljem podataka dostavljenih </w:t>
      </w:r>
      <w:r w:rsidRPr="00DE5B8A">
        <w:t>za nositelja zajedničkog projekta.</w:t>
      </w:r>
    </w:p>
    <w:p w14:paraId="1FAC29B7" w14:textId="77777777" w:rsidR="00610B42" w:rsidRPr="003E017C" w:rsidRDefault="00610B42" w:rsidP="00013CD3">
      <w:pPr>
        <w:pStyle w:val="Bezproreda"/>
        <w:jc w:val="both"/>
      </w:pPr>
    </w:p>
    <w:p w14:paraId="40571868" w14:textId="77777777" w:rsidR="00013CD3" w:rsidRPr="00FD5E2E" w:rsidRDefault="00013CD3" w:rsidP="00013CD3">
      <w:pPr>
        <w:pStyle w:val="Bezproreda"/>
        <w:jc w:val="both"/>
        <w:rPr>
          <w:b/>
          <w:u w:val="single"/>
        </w:rPr>
      </w:pPr>
      <w:r w:rsidRPr="00FD5E2E">
        <w:rPr>
          <w:u w:val="single"/>
        </w:rPr>
        <w:t xml:space="preserve">KRITERIJ ODABIRA BR. 2 </w:t>
      </w:r>
      <w:r w:rsidRPr="00FD5E2E">
        <w:rPr>
          <w:b/>
          <w:u w:val="single"/>
        </w:rPr>
        <w:t>„Kompleksnost ulaganja“</w:t>
      </w:r>
    </w:p>
    <w:p w14:paraId="6850206D" w14:textId="77777777" w:rsidR="00013CD3" w:rsidRPr="009F1D25" w:rsidRDefault="00013CD3" w:rsidP="00013CD3">
      <w:pPr>
        <w:pStyle w:val="Bezproreda"/>
        <w:jc w:val="both"/>
        <w:rPr>
          <w:b/>
        </w:rPr>
      </w:pPr>
    </w:p>
    <w:p w14:paraId="64F8DCD9" w14:textId="49E5ACF8" w:rsidR="00013CD3" w:rsidRDefault="00013CD3" w:rsidP="00013CD3">
      <w:pPr>
        <w:pStyle w:val="Bezproreda"/>
        <w:jc w:val="both"/>
      </w:pPr>
      <w:r w:rsidRPr="009F1D25">
        <w:t>Ako ula</w:t>
      </w:r>
      <w:r>
        <w:t>ganje obuhvaća i rekonstrukciju</w:t>
      </w:r>
      <w:r w:rsidRPr="009F1D25">
        <w:t xml:space="preserve"> i opremanje postojećih </w:t>
      </w:r>
      <w:r>
        <w:t>zatvorenih/zaštićenih prostora ili</w:t>
      </w:r>
      <w:r w:rsidR="00B51014">
        <w:t xml:space="preserve"> objekata za skladištenje i/ili</w:t>
      </w:r>
      <w:r w:rsidRPr="009F1D25">
        <w:t xml:space="preserve"> čuvanje primarnih poljoprivrednih proizvoda ili restrukturiranje vinograda stolnih </w:t>
      </w:r>
      <w:proofErr w:type="spellStart"/>
      <w:r w:rsidRPr="009F1D25">
        <w:t>kultivara</w:t>
      </w:r>
      <w:proofErr w:type="spellEnd"/>
      <w:r>
        <w:t xml:space="preserve"> </w:t>
      </w:r>
      <w:r w:rsidRPr="009F1D25">
        <w:t xml:space="preserve">u udjelu manjem od 50% prihvatljivih troškova u projektu i izgradnju i opremanje novog </w:t>
      </w:r>
      <w:r>
        <w:t>zatvorenog/zaštićenog</w:t>
      </w:r>
      <w:r w:rsidRPr="009F1D25">
        <w:t xml:space="preserve"> prostora il</w:t>
      </w:r>
      <w:r w:rsidR="00B51014">
        <w:t>i objekata za skladištenje i/ili</w:t>
      </w:r>
      <w:r w:rsidRPr="009F1D25">
        <w:t xml:space="preserve"> čuvanje primarnih poljoprivrednih proizvoda ili </w:t>
      </w:r>
      <w:r>
        <w:t xml:space="preserve">podizanje novih vinograda </w:t>
      </w:r>
      <w:r w:rsidRPr="009F1D25">
        <w:t>u udjelu manjem od 70% prihvatljivih troškova u projektu, a zajedno čine više od 70% prihvatljivih troškova u projektu, korisnik ostvaruje pravo na</w:t>
      </w:r>
      <w:r w:rsidR="00156B91">
        <w:t xml:space="preserve"> </w:t>
      </w:r>
      <w:r w:rsidR="00224ADF" w:rsidRPr="00DE5B8A">
        <w:t>2</w:t>
      </w:r>
      <w:r w:rsidR="00224ADF">
        <w:t xml:space="preserve"> </w:t>
      </w:r>
      <w:r w:rsidRPr="009F1D25">
        <w:t>boda po ovom kriteriju.</w:t>
      </w:r>
    </w:p>
    <w:p w14:paraId="1C415161" w14:textId="77777777" w:rsidR="00FC61BD" w:rsidRDefault="00FC61BD" w:rsidP="00013CD3">
      <w:pPr>
        <w:pStyle w:val="Bezproreda"/>
        <w:jc w:val="both"/>
      </w:pPr>
    </w:p>
    <w:p w14:paraId="49D91E98" w14:textId="43FEDFA7" w:rsidR="00372BD8" w:rsidRDefault="00372BD8" w:rsidP="00013CD3">
      <w:pPr>
        <w:pStyle w:val="Bezproreda"/>
        <w:jc w:val="both"/>
      </w:pPr>
      <w:r>
        <w:t xml:space="preserve">Bodovi za </w:t>
      </w:r>
      <w:r w:rsidR="00E80C94">
        <w:t xml:space="preserve">ulaganja u </w:t>
      </w:r>
      <w:r w:rsidRPr="00372BD8">
        <w:t xml:space="preserve">restrukturiranje vinograda stolnih </w:t>
      </w:r>
      <w:proofErr w:type="spellStart"/>
      <w:r w:rsidRPr="00372BD8">
        <w:t>kultivara</w:t>
      </w:r>
      <w:proofErr w:type="spellEnd"/>
      <w:r>
        <w:t xml:space="preserve"> </w:t>
      </w:r>
      <w:r w:rsidR="00FC61BD">
        <w:t xml:space="preserve">i bodovi za </w:t>
      </w:r>
      <w:r w:rsidR="00E80C94">
        <w:t xml:space="preserve">ulaganja u </w:t>
      </w:r>
      <w:r w:rsidR="00FC61BD" w:rsidRPr="00FC61BD">
        <w:t xml:space="preserve">podizanje novih vinograda </w:t>
      </w:r>
      <w:r>
        <w:t>dodjeljuju se za sve troškove navedene pod točkom 2 (isključujući trošak 2.2) u Listi prihvatljivih troškova uz uvjet da</w:t>
      </w:r>
      <w:r w:rsidR="00E80C94">
        <w:t xml:space="preserve"> ti</w:t>
      </w:r>
      <w:r>
        <w:t xml:space="preserve"> troškovi iznose </w:t>
      </w:r>
      <w:r w:rsidRPr="00372BD8">
        <w:t xml:space="preserve">min. 50 % </w:t>
      </w:r>
      <w:r w:rsidR="00FC61BD">
        <w:t>odnosno min</w:t>
      </w:r>
      <w:r w:rsidR="001B75ED">
        <w:t>.</w:t>
      </w:r>
      <w:r w:rsidR="00FC61BD">
        <w:t xml:space="preserve"> 70% </w:t>
      </w:r>
      <w:r w:rsidRPr="00372BD8">
        <w:t>prihvatljivih troškova u projektu</w:t>
      </w:r>
      <w:r>
        <w:t>.</w:t>
      </w:r>
    </w:p>
    <w:p w14:paraId="3707B4E5" w14:textId="0E3C3E48" w:rsidR="00372BD8" w:rsidRDefault="00372BD8" w:rsidP="00013CD3">
      <w:pPr>
        <w:pStyle w:val="Bezproreda"/>
        <w:jc w:val="both"/>
      </w:pPr>
      <w:r w:rsidRPr="00372BD8">
        <w:t xml:space="preserve">Bodovi za </w:t>
      </w:r>
      <w:r>
        <w:t>kupnju</w:t>
      </w:r>
      <w:r w:rsidRPr="00372BD8">
        <w:t xml:space="preserve"> mehanizacije i/ili opreme dodjeljuju se za sve troškove navedene pod točkom </w:t>
      </w:r>
      <w:r>
        <w:t>3</w:t>
      </w:r>
      <w:r w:rsidRPr="00372BD8">
        <w:t xml:space="preserve"> </w:t>
      </w:r>
      <w:r>
        <w:t xml:space="preserve">(isključujući </w:t>
      </w:r>
      <w:r w:rsidR="00FC61BD">
        <w:t>trošak 3.4</w:t>
      </w:r>
      <w:r>
        <w:t>) u Listi</w:t>
      </w:r>
      <w:r w:rsidRPr="00372BD8">
        <w:t xml:space="preserve"> prihvatljivih troškova.</w:t>
      </w:r>
    </w:p>
    <w:p w14:paraId="382E1A69" w14:textId="5BB80835" w:rsidR="00226E72" w:rsidRDefault="00226E72" w:rsidP="00013CD3">
      <w:pPr>
        <w:pStyle w:val="Bezproreda"/>
        <w:jc w:val="both"/>
      </w:pPr>
    </w:p>
    <w:p w14:paraId="3E1FBFD5" w14:textId="46648B99" w:rsidR="00226E72" w:rsidRPr="00226E72" w:rsidRDefault="00226E72" w:rsidP="00226E72">
      <w:pPr>
        <w:pStyle w:val="Bezproreda"/>
        <w:jc w:val="both"/>
      </w:pPr>
      <w:r>
        <w:lastRenderedPageBreak/>
        <w:t xml:space="preserve">Ako se u administrativnoj kontroli drugog dijela zahtjeva za potporu utvrdi da je došlo do promjena u iznosima </w:t>
      </w:r>
      <w:r w:rsidR="00223D70">
        <w:t xml:space="preserve">troškova </w:t>
      </w:r>
      <w:r>
        <w:t xml:space="preserve">navedenim u dijelu Tablice troškova i izračuna potpore u odnosu na iznose </w:t>
      </w:r>
      <w:r w:rsidR="00223D70">
        <w:t xml:space="preserve">troškova </w:t>
      </w:r>
      <w:r>
        <w:t>navedene u dijelu tablice Plan nabave</w:t>
      </w:r>
      <w:r w:rsidR="00223D70">
        <w:t xml:space="preserve"> koja je prilog Odluke o rezultatu administrativne kontrole zahtjeva za potporu i Ugovora o financiranju</w:t>
      </w:r>
      <w:r>
        <w:t xml:space="preserve">, zbog </w:t>
      </w:r>
      <w:r w:rsidR="00223D70">
        <w:t xml:space="preserve"> čega je </w:t>
      </w:r>
      <w:r>
        <w:t xml:space="preserve">došlo do promjene u omjerima </w:t>
      </w:r>
      <w:r w:rsidR="00223D70">
        <w:t xml:space="preserve">na predmetnom kriteriju „Kompleksnost ulaganja“ te </w:t>
      </w:r>
      <w:r>
        <w:t xml:space="preserve">je postotak troškova temeljem kojih su ostvareni bodovi po ovom kriteriju pao ispod propisanog minimuma, Agencija za plaćanja će proporcionalno umanjiti sve troškove koji ne ulaze u izračun </w:t>
      </w:r>
      <w:r w:rsidRPr="00226E72">
        <w:t>troškova temeljem kojih su ostvareni bodovi</w:t>
      </w:r>
      <w:r>
        <w:t>, na način da ih umanji za onaj postotak koji je potreban kako bi se zadržao minimalan propisan omjer troškova temeljem kojih su bodovi prvotno ostvareni.</w:t>
      </w:r>
    </w:p>
    <w:p w14:paraId="652E0B35" w14:textId="3270E9B7" w:rsidR="003321C6" w:rsidRDefault="003321C6" w:rsidP="00013CD3">
      <w:pPr>
        <w:pStyle w:val="Bezproreda"/>
        <w:jc w:val="both"/>
      </w:pPr>
    </w:p>
    <w:p w14:paraId="5E21263D" w14:textId="77777777" w:rsidR="001E63A9" w:rsidRPr="00FD5E2E" w:rsidRDefault="001E63A9" w:rsidP="00013CD3">
      <w:pPr>
        <w:pStyle w:val="Bezproreda"/>
        <w:jc w:val="both"/>
        <w:rPr>
          <w:b/>
          <w:u w:val="single"/>
        </w:rPr>
      </w:pPr>
      <w:r w:rsidRPr="00FD5E2E">
        <w:rPr>
          <w:u w:val="single"/>
        </w:rPr>
        <w:t xml:space="preserve">KRITERIJ ODABIRA BR. 4 </w:t>
      </w:r>
      <w:r w:rsidRPr="00FD5E2E">
        <w:rPr>
          <w:b/>
          <w:u w:val="single"/>
        </w:rPr>
        <w:t>„Spremnost projekta“</w:t>
      </w:r>
    </w:p>
    <w:p w14:paraId="38C4DD15" w14:textId="20020433" w:rsidR="001E63A9" w:rsidRDefault="001E63A9" w:rsidP="00013CD3">
      <w:pPr>
        <w:pStyle w:val="Bezproreda"/>
        <w:jc w:val="both"/>
      </w:pPr>
      <w:r w:rsidRPr="001E63A9">
        <w:t>Bodove po ovom kriteriju mogu ostvari</w:t>
      </w:r>
      <w:r w:rsidR="00947419">
        <w:t>ti</w:t>
      </w:r>
      <w:r w:rsidRPr="001E63A9">
        <w:t xml:space="preserve"> </w:t>
      </w:r>
      <w:r w:rsidRPr="001E63A9">
        <w:rPr>
          <w:b/>
        </w:rPr>
        <w:t>isključivo</w:t>
      </w:r>
      <w:r w:rsidRPr="001E63A9">
        <w:t xml:space="preserve"> oni projekti za koje je potrebno ishođenje građevinske dozvole.</w:t>
      </w:r>
    </w:p>
    <w:p w14:paraId="2B6016B3" w14:textId="20538DB9" w:rsidR="00A318FE" w:rsidRDefault="00A318FE" w:rsidP="00013CD3">
      <w:pPr>
        <w:pStyle w:val="Bezproreda"/>
        <w:jc w:val="both"/>
      </w:pPr>
    </w:p>
    <w:p w14:paraId="3D4EB3B6" w14:textId="77777777" w:rsidR="00A318FE" w:rsidRPr="00FD5E2E" w:rsidRDefault="00A318FE" w:rsidP="00A318FE">
      <w:pPr>
        <w:pStyle w:val="Bezproreda"/>
        <w:jc w:val="both"/>
        <w:rPr>
          <w:rFonts w:eastAsia="Times New Roman" w:cs="Calibri Light"/>
          <w:b/>
          <w:color w:val="000000"/>
          <w:u w:val="single"/>
          <w:lang w:eastAsia="hr-HR"/>
        </w:rPr>
      </w:pPr>
      <w:r w:rsidRPr="00FD5E2E">
        <w:rPr>
          <w:rFonts w:eastAsia="Times New Roman" w:cs="Calibri Light"/>
          <w:color w:val="000000"/>
          <w:u w:val="single"/>
          <w:lang w:eastAsia="hr-HR"/>
        </w:rPr>
        <w:t>KRITERIJ ODABIRA BR. 5 „</w:t>
      </w:r>
      <w:r w:rsidRPr="00FD5E2E">
        <w:rPr>
          <w:rFonts w:eastAsia="Times New Roman" w:cs="Calibri Light"/>
          <w:b/>
          <w:color w:val="000000"/>
          <w:u w:val="single"/>
          <w:lang w:eastAsia="hr-HR"/>
        </w:rPr>
        <w:t>Ulaganje doprinosi stvaranju novih radnih mjesta“</w:t>
      </w:r>
    </w:p>
    <w:p w14:paraId="4070AAA1" w14:textId="53AD5385" w:rsidR="00A318FE" w:rsidRPr="00DE5B8A" w:rsidRDefault="00A318FE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DE5B8A">
        <w:rPr>
          <w:rFonts w:eastAsia="Times New Roman" w:cs="Calibri Light"/>
          <w:color w:val="000000"/>
          <w:lang w:eastAsia="hr-HR"/>
        </w:rPr>
        <w:t>U slučaju kada izračunati broj zaposlenika ne predstavlja cijeli broj, vrijednost do 0,5 se zaokružuje na manji broj, a vrijednost</w:t>
      </w:r>
      <w:r w:rsidR="00DE5B8A">
        <w:rPr>
          <w:rFonts w:eastAsia="Times New Roman" w:cs="Calibri Light"/>
          <w:color w:val="000000"/>
          <w:lang w:eastAsia="hr-HR"/>
        </w:rPr>
        <w:t>i</w:t>
      </w:r>
      <w:r w:rsidRPr="00DE5B8A">
        <w:rPr>
          <w:rFonts w:eastAsia="Times New Roman" w:cs="Calibri Light"/>
          <w:color w:val="000000"/>
          <w:lang w:eastAsia="hr-HR"/>
        </w:rPr>
        <w:t xml:space="preserve"> iznad 0,5 uključujući i 0,5 zaokružuju se na veći broj</w:t>
      </w:r>
      <w:r w:rsidRPr="00156B91">
        <w:rPr>
          <w:rFonts w:eastAsia="Times New Roman" w:cs="Calibri Light"/>
          <w:color w:val="000000"/>
          <w:lang w:eastAsia="hr-HR"/>
        </w:rPr>
        <w:t>.</w:t>
      </w:r>
    </w:p>
    <w:p w14:paraId="7362502F" w14:textId="77777777" w:rsidR="001E63A9" w:rsidRDefault="001E63A9" w:rsidP="00013CD3">
      <w:pPr>
        <w:pStyle w:val="Bezproreda"/>
        <w:jc w:val="both"/>
      </w:pPr>
    </w:p>
    <w:p w14:paraId="3B820F42" w14:textId="494DBF47" w:rsidR="003651A1" w:rsidRPr="00FD5E2E" w:rsidRDefault="003651A1" w:rsidP="00013CD3">
      <w:pPr>
        <w:pStyle w:val="Bezproreda"/>
        <w:jc w:val="both"/>
        <w:rPr>
          <w:u w:val="single"/>
        </w:rPr>
      </w:pPr>
      <w:r w:rsidRPr="00FD5E2E">
        <w:rPr>
          <w:u w:val="single"/>
        </w:rPr>
        <w:t>KRITERIJ ODABIRA BR. 8 „</w:t>
      </w:r>
      <w:r w:rsidRPr="00FD5E2E">
        <w:rPr>
          <w:b/>
          <w:u w:val="single"/>
        </w:rPr>
        <w:t>Sektor (trenutna proizvodnja)“</w:t>
      </w:r>
    </w:p>
    <w:p w14:paraId="2F6ABF74" w14:textId="563D1904" w:rsidR="003651A1" w:rsidRDefault="003651A1" w:rsidP="00013CD3">
      <w:pPr>
        <w:pStyle w:val="Bezproreda"/>
        <w:jc w:val="both"/>
      </w:pPr>
      <w:r>
        <w:t xml:space="preserve">Trenutna proizvodnja korisnika provjerava se iz </w:t>
      </w:r>
      <w:r w:rsidR="004B3174">
        <w:t>Potvrde o ekonomskoj veličini poljoprivrednog gospodarstva koju izdaje Savjetodavna služba.</w:t>
      </w:r>
      <w:r w:rsidR="00A61CEC">
        <w:t xml:space="preserve"> </w:t>
      </w:r>
    </w:p>
    <w:p w14:paraId="0CDFF18D" w14:textId="65CB7910" w:rsidR="003466B4" w:rsidRDefault="003466B4" w:rsidP="00013CD3">
      <w:pPr>
        <w:pStyle w:val="Bezproreda"/>
        <w:jc w:val="both"/>
      </w:pPr>
      <w:r>
        <w:t xml:space="preserve">U slučaju da se ulaganje odnosi na 2 </w:t>
      </w:r>
      <w:r w:rsidR="00E146F7">
        <w:t xml:space="preserve">ili više </w:t>
      </w:r>
      <w:r>
        <w:t>sektora, bodovi se dodjeljuju za onaj sektor u kojem se nalazi</w:t>
      </w:r>
      <w:r w:rsidRPr="003466B4">
        <w:t xml:space="preserve"> najveći financijski udio</w:t>
      </w:r>
      <w:r>
        <w:t xml:space="preserve"> prihvatljivih troškova projekta.</w:t>
      </w:r>
    </w:p>
    <w:p w14:paraId="5A506277" w14:textId="36779062" w:rsidR="0042387C" w:rsidRDefault="0042387C" w:rsidP="00013CD3">
      <w:pPr>
        <w:pStyle w:val="Bezproreda"/>
        <w:jc w:val="both"/>
      </w:pPr>
      <w:r>
        <w:t>B</w:t>
      </w:r>
      <w:r w:rsidR="004B3174">
        <w:t>odov</w:t>
      </w:r>
      <w:r>
        <w:t>i</w:t>
      </w:r>
      <w:r w:rsidR="004B3174">
        <w:t xml:space="preserve"> za ulaganj</w:t>
      </w:r>
      <w:r>
        <w:t>a</w:t>
      </w:r>
      <w:r w:rsidR="004B3174">
        <w:t xml:space="preserve"> u sektor šećerne repe mo</w:t>
      </w:r>
      <w:r>
        <w:t xml:space="preserve">gu se ostvariti </w:t>
      </w:r>
      <w:r w:rsidRPr="0042387C">
        <w:rPr>
          <w:b/>
        </w:rPr>
        <w:t>isključivo</w:t>
      </w:r>
      <w:r>
        <w:t xml:space="preserve"> na temelju Ugovora o proizvodnji i otkupu šećerne repe sa šećeranom.</w:t>
      </w:r>
    </w:p>
    <w:p w14:paraId="410C9AD7" w14:textId="2C8D78CE" w:rsidR="003651A1" w:rsidRPr="00156B91" w:rsidRDefault="003651A1" w:rsidP="00013CD3">
      <w:pPr>
        <w:pStyle w:val="Bezproreda"/>
        <w:jc w:val="both"/>
        <w:rPr>
          <w:b/>
        </w:rPr>
      </w:pPr>
    </w:p>
    <w:p w14:paraId="0E558AB4" w14:textId="4D1906D1" w:rsidR="00013CD3" w:rsidRPr="00FD5E2E" w:rsidRDefault="00013CD3" w:rsidP="00013CD3">
      <w:pPr>
        <w:pStyle w:val="Bezproreda"/>
        <w:jc w:val="both"/>
        <w:rPr>
          <w:rFonts w:eastAsia="Times New Roman" w:cs="Calibri Light"/>
          <w:b/>
          <w:bCs/>
          <w:color w:val="000000"/>
          <w:u w:val="single"/>
          <w:lang w:eastAsia="hr-HR"/>
        </w:rPr>
      </w:pPr>
      <w:r w:rsidRPr="00FD5E2E">
        <w:rPr>
          <w:u w:val="single"/>
        </w:rPr>
        <w:t>KRITERIJ ODABIRA BR. 9 „</w:t>
      </w:r>
      <w:r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Indeks razvijenosti JLS-a (prema mjestu ulaganja)</w:t>
      </w:r>
      <w:r w:rsidR="003651A1"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“</w:t>
      </w:r>
    </w:p>
    <w:p w14:paraId="3A9267AA" w14:textId="77777777" w:rsidR="00013CD3" w:rsidRPr="003E017C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3E017C">
        <w:rPr>
          <w:rFonts w:eastAsia="Times New Roman" w:cs="Calibri Light"/>
          <w:color w:val="000000"/>
          <w:lang w:eastAsia="hr-HR"/>
        </w:rPr>
        <w:t>Pripadnost ulaganja pojedinoj JLS se određuje na sljedeći način:</w:t>
      </w:r>
    </w:p>
    <w:p w14:paraId="0C5D6AA8" w14:textId="32D3DEA4" w:rsidR="00093964" w:rsidRDefault="00093964" w:rsidP="00093964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>
        <w:rPr>
          <w:rFonts w:eastAsia="Times New Roman" w:cs="Calibri Light"/>
          <w:color w:val="000000"/>
          <w:lang w:eastAsia="hr-HR"/>
        </w:rPr>
        <w:t>Ako je korisnik ostvario 2 ili 4 boda za kriterij odabira</w:t>
      </w:r>
      <w:r w:rsidRPr="00A318FE">
        <w:rPr>
          <w:rFonts w:eastAsia="Times New Roman" w:cs="Calibri Light"/>
          <w:color w:val="000000"/>
          <w:lang w:eastAsia="hr-HR"/>
        </w:rPr>
        <w:t xml:space="preserve"> </w:t>
      </w:r>
      <w:r w:rsidRPr="003E017C">
        <w:rPr>
          <w:rFonts w:eastAsia="Times New Roman" w:cs="Calibri Light"/>
          <w:color w:val="000000"/>
          <w:lang w:eastAsia="hr-HR"/>
        </w:rPr>
        <w:t>pod točkom 2. Kompleksnost ulaganja</w:t>
      </w:r>
      <w:r>
        <w:rPr>
          <w:rFonts w:eastAsia="Times New Roman" w:cs="Calibri Light"/>
          <w:color w:val="000000"/>
          <w:lang w:eastAsia="hr-HR"/>
        </w:rPr>
        <w:t xml:space="preserve">, mjestom ulaganja će se smatrati lokacija </w:t>
      </w:r>
      <w:r w:rsidR="00156B91" w:rsidRPr="003E017C">
        <w:rPr>
          <w:rFonts w:eastAsia="Times New Roman" w:cs="Calibri Light"/>
          <w:color w:val="000000"/>
          <w:lang w:eastAsia="hr-HR"/>
        </w:rPr>
        <w:t>izgradnje/rekonstrukcije i opremanja</w:t>
      </w:r>
      <w:r>
        <w:rPr>
          <w:rFonts w:eastAsia="Times New Roman" w:cs="Calibri Light"/>
          <w:color w:val="000000"/>
          <w:lang w:eastAsia="hr-HR"/>
        </w:rPr>
        <w:t xml:space="preserve">. </w:t>
      </w:r>
    </w:p>
    <w:p w14:paraId="366BE663" w14:textId="69D31060" w:rsidR="00093964" w:rsidRDefault="00093964" w:rsidP="00093964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>
        <w:rPr>
          <w:rFonts w:eastAsia="Times New Roman" w:cs="Calibri Light"/>
          <w:color w:val="000000"/>
          <w:lang w:eastAsia="hr-HR"/>
        </w:rPr>
        <w:t xml:space="preserve">Ako je korisnik </w:t>
      </w:r>
      <w:r w:rsidRPr="003E017C">
        <w:rPr>
          <w:rFonts w:eastAsia="Times New Roman" w:cs="Calibri Light"/>
          <w:color w:val="000000"/>
          <w:lang w:eastAsia="hr-HR"/>
        </w:rPr>
        <w:t>pod točkom 2. Kompleksnost ulaganja</w:t>
      </w:r>
      <w:r w:rsidRPr="00093964">
        <w:rPr>
          <w:rFonts w:eastAsia="Times New Roman" w:cs="Calibri Light"/>
          <w:color w:val="000000"/>
          <w:lang w:eastAsia="hr-HR"/>
        </w:rPr>
        <w:t xml:space="preserve"> </w:t>
      </w:r>
      <w:r>
        <w:rPr>
          <w:rFonts w:eastAsia="Times New Roman" w:cs="Calibri Light"/>
          <w:color w:val="000000"/>
          <w:lang w:eastAsia="hr-HR"/>
        </w:rPr>
        <w:t xml:space="preserve">ostvario </w:t>
      </w:r>
      <w:r w:rsidR="0042387C">
        <w:rPr>
          <w:rFonts w:eastAsia="Times New Roman" w:cs="Calibri Light"/>
          <w:color w:val="000000"/>
          <w:lang w:eastAsia="hr-HR"/>
        </w:rPr>
        <w:t xml:space="preserve">3 </w:t>
      </w:r>
      <w:r>
        <w:rPr>
          <w:rFonts w:eastAsia="Times New Roman" w:cs="Calibri Light"/>
          <w:color w:val="000000"/>
          <w:lang w:eastAsia="hr-HR"/>
        </w:rPr>
        <w:t>bod</w:t>
      </w:r>
      <w:r w:rsidR="0042387C">
        <w:rPr>
          <w:rFonts w:eastAsia="Times New Roman" w:cs="Calibri Light"/>
          <w:color w:val="000000"/>
          <w:lang w:eastAsia="hr-HR"/>
        </w:rPr>
        <w:t>a</w:t>
      </w:r>
      <w:r w:rsidRPr="00093964">
        <w:rPr>
          <w:rFonts w:eastAsia="Times New Roman" w:cs="Calibri Light"/>
          <w:color w:val="000000"/>
          <w:lang w:eastAsia="hr-HR"/>
        </w:rPr>
        <w:t xml:space="preserve"> </w:t>
      </w:r>
      <w:r>
        <w:rPr>
          <w:rFonts w:eastAsia="Times New Roman" w:cs="Calibri Light"/>
          <w:color w:val="000000"/>
          <w:lang w:eastAsia="hr-HR"/>
        </w:rPr>
        <w:t>za ulaganja u nabavu mehanizacije i opreme, bodovi se dodjeljuju prema sjedištu korisnika/sjedištu nositelja zajedničkog projekta.</w:t>
      </w:r>
    </w:p>
    <w:p w14:paraId="1D9FC33F" w14:textId="4C429ED3" w:rsidR="00013CD3" w:rsidRPr="003E017C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</w:p>
    <w:p w14:paraId="1512143E" w14:textId="77777777" w:rsidR="00013CD3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3E017C">
        <w:rPr>
          <w:rFonts w:eastAsia="Times New Roman" w:cs="Calibri Light"/>
          <w:color w:val="000000"/>
          <w:lang w:eastAsia="hr-HR"/>
        </w:rPr>
        <w:t>U slučaju da se ulaganje odvija u dv</w:t>
      </w:r>
      <w:r>
        <w:rPr>
          <w:rFonts w:eastAsia="Times New Roman" w:cs="Calibri Light"/>
          <w:color w:val="000000"/>
          <w:lang w:eastAsia="hr-HR"/>
        </w:rPr>
        <w:t>a</w:t>
      </w:r>
      <w:r w:rsidRPr="003E017C">
        <w:rPr>
          <w:rFonts w:eastAsia="Times New Roman" w:cs="Calibri Light"/>
          <w:color w:val="000000"/>
          <w:lang w:eastAsia="hr-HR"/>
        </w:rPr>
        <w:t xml:space="preserve"> ili više JLS-a bodovi se dodjeljuju prema onom JLS-u gdje se nalazi najveći financijski udio u slučaju izgradnje/rekonstrukcije i opremanja. </w:t>
      </w:r>
    </w:p>
    <w:p w14:paraId="063AE599" w14:textId="77777777" w:rsidR="00013CD3" w:rsidRPr="003E017C" w:rsidRDefault="00013CD3" w:rsidP="00013CD3">
      <w:pPr>
        <w:pStyle w:val="Bezproreda"/>
        <w:jc w:val="both"/>
      </w:pPr>
    </w:p>
    <w:p w14:paraId="1C86CFD0" w14:textId="758BCD42" w:rsidR="00013CD3" w:rsidRPr="00FD5E2E" w:rsidRDefault="00013CD3" w:rsidP="00013CD3">
      <w:pPr>
        <w:pStyle w:val="Bezproreda"/>
        <w:jc w:val="both"/>
        <w:rPr>
          <w:b/>
          <w:u w:val="single"/>
        </w:rPr>
      </w:pPr>
      <w:r w:rsidRPr="00FD5E2E">
        <w:rPr>
          <w:u w:val="single"/>
        </w:rPr>
        <w:t>KRITERIJ ODABIRA BR. 10 „</w:t>
      </w:r>
      <w:r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Ulaganje u područjima s prirodnim ograničenjima i</w:t>
      </w:r>
      <w:r w:rsidR="00131935"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 xml:space="preserve"> ostalim posebnim ograničenjima</w:t>
      </w:r>
      <w:r w:rsidRPr="00FD5E2E">
        <w:rPr>
          <w:b/>
          <w:u w:val="single"/>
        </w:rPr>
        <w:t>„</w:t>
      </w:r>
    </w:p>
    <w:p w14:paraId="7ADF1EFF" w14:textId="77777777" w:rsidR="00013CD3" w:rsidRPr="003E017C" w:rsidRDefault="00013CD3" w:rsidP="00013CD3">
      <w:pPr>
        <w:pStyle w:val="Bezproreda"/>
        <w:jc w:val="both"/>
        <w:rPr>
          <w:rFonts w:eastAsia="Times New Roman" w:cs="Calibri Light"/>
          <w:b/>
          <w:bCs/>
          <w:color w:val="000000"/>
          <w:lang w:eastAsia="hr-HR"/>
        </w:rPr>
      </w:pPr>
    </w:p>
    <w:p w14:paraId="5CB524EE" w14:textId="744C3E19" w:rsidR="00013CD3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3E017C">
        <w:rPr>
          <w:rFonts w:eastAsia="Times New Roman" w:cs="Calibri Light"/>
          <w:color w:val="000000"/>
          <w:lang w:eastAsia="hr-HR"/>
        </w:rPr>
        <w:t>Pripadnost ulaganja ZPO/</w:t>
      </w:r>
      <w:r>
        <w:rPr>
          <w:rFonts w:eastAsia="Times New Roman" w:cs="Calibri Light"/>
          <w:color w:val="000000"/>
          <w:lang w:eastAsia="hr-HR"/>
        </w:rPr>
        <w:t>GPP/</w:t>
      </w:r>
      <w:r w:rsidRPr="003E017C">
        <w:rPr>
          <w:rFonts w:eastAsia="Times New Roman" w:cs="Calibri Light"/>
          <w:color w:val="000000"/>
          <w:lang w:eastAsia="hr-HR"/>
        </w:rPr>
        <w:t xml:space="preserve">PPO određuje </w:t>
      </w:r>
      <w:r>
        <w:rPr>
          <w:rFonts w:eastAsia="Times New Roman" w:cs="Calibri Light"/>
          <w:color w:val="000000"/>
          <w:lang w:eastAsia="hr-HR"/>
        </w:rPr>
        <w:t xml:space="preserve">se </w:t>
      </w:r>
      <w:r w:rsidRPr="003E017C">
        <w:rPr>
          <w:rFonts w:eastAsia="Times New Roman" w:cs="Calibri Light"/>
          <w:color w:val="000000"/>
          <w:lang w:eastAsia="hr-HR"/>
        </w:rPr>
        <w:t>prema području na kojem se ostvaruje minimalno 50%</w:t>
      </w:r>
      <w:r w:rsidRPr="003E017C">
        <w:t xml:space="preserve"> </w:t>
      </w:r>
      <w:r w:rsidRPr="003E017C">
        <w:rPr>
          <w:rFonts w:eastAsia="Times New Roman" w:cs="Calibri Light"/>
          <w:color w:val="000000"/>
          <w:lang w:eastAsia="hr-HR"/>
        </w:rPr>
        <w:t>prihvatljivih troškova u projektu</w:t>
      </w:r>
      <w:r>
        <w:rPr>
          <w:rFonts w:eastAsia="Times New Roman" w:cs="Calibri Light"/>
          <w:color w:val="000000"/>
          <w:lang w:eastAsia="hr-HR"/>
        </w:rPr>
        <w:t>.</w:t>
      </w:r>
    </w:p>
    <w:p w14:paraId="2BF735ED" w14:textId="33E3AD51" w:rsidR="00BC5286" w:rsidRPr="005E6086" w:rsidRDefault="00BC5286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>
        <w:rPr>
          <w:rFonts w:eastAsia="Times New Roman" w:cs="Calibri Light"/>
          <w:color w:val="000000"/>
          <w:lang w:eastAsia="hr-HR"/>
        </w:rPr>
        <w:t>Troškovi ulaganja u poljoprivrednu mehanizaciju</w:t>
      </w:r>
      <w:r w:rsidR="00030A76">
        <w:rPr>
          <w:rFonts w:eastAsia="Times New Roman" w:cs="Calibri Light"/>
          <w:color w:val="000000"/>
          <w:lang w:eastAsia="hr-HR"/>
        </w:rPr>
        <w:t xml:space="preserve"> i</w:t>
      </w:r>
      <w:r>
        <w:rPr>
          <w:rFonts w:eastAsia="Times New Roman" w:cs="Calibri Light"/>
          <w:color w:val="000000"/>
          <w:lang w:eastAsia="hr-HR"/>
        </w:rPr>
        <w:t xml:space="preserve"> gospodarska vozila </w:t>
      </w:r>
      <w:r w:rsidR="00030A76">
        <w:rPr>
          <w:rFonts w:eastAsia="Times New Roman" w:cs="Calibri Light"/>
          <w:color w:val="000000"/>
          <w:lang w:eastAsia="hr-HR"/>
        </w:rPr>
        <w:t xml:space="preserve">u cijelosti se </w:t>
      </w:r>
      <w:r>
        <w:rPr>
          <w:rFonts w:eastAsia="Times New Roman" w:cs="Calibri Light"/>
          <w:color w:val="000000"/>
          <w:lang w:eastAsia="hr-HR"/>
        </w:rPr>
        <w:t>pribrajaju</w:t>
      </w:r>
      <w:r w:rsidR="00030A76">
        <w:rPr>
          <w:rFonts w:eastAsia="Times New Roman" w:cs="Calibri Light"/>
          <w:color w:val="000000"/>
          <w:lang w:eastAsia="hr-HR"/>
        </w:rPr>
        <w:t xml:space="preserve"> </w:t>
      </w:r>
      <w:r>
        <w:rPr>
          <w:rFonts w:eastAsia="Times New Roman" w:cs="Calibri Light"/>
          <w:color w:val="000000"/>
          <w:lang w:eastAsia="hr-HR"/>
        </w:rPr>
        <w:t>onom području</w:t>
      </w:r>
      <w:r w:rsidRPr="00BC5286">
        <w:rPr>
          <w:rFonts w:eastAsia="Times New Roman" w:cs="Calibri Light"/>
          <w:b/>
          <w:bCs/>
          <w:color w:val="000000"/>
          <w:lang w:eastAsia="hr-HR"/>
        </w:rPr>
        <w:t xml:space="preserve"> </w:t>
      </w:r>
      <w:r w:rsidR="00030A76" w:rsidRPr="005E6086">
        <w:rPr>
          <w:rFonts w:eastAsia="Times New Roman" w:cs="Calibri Light"/>
          <w:bCs/>
          <w:color w:val="000000"/>
          <w:lang w:eastAsia="hr-HR"/>
        </w:rPr>
        <w:t>s</w:t>
      </w:r>
      <w:r w:rsidRPr="00131935">
        <w:rPr>
          <w:rFonts w:eastAsia="Times New Roman" w:cs="Calibri Light"/>
          <w:bCs/>
          <w:color w:val="000000"/>
          <w:lang w:eastAsia="hr-HR"/>
        </w:rPr>
        <w:t xml:space="preserve"> prirodnim ograničenjima i ostalim posebnim ograničenjima </w:t>
      </w:r>
      <w:r w:rsidRPr="005E6086">
        <w:rPr>
          <w:rFonts w:eastAsia="Times New Roman" w:cs="Calibri Light"/>
          <w:color w:val="000000"/>
          <w:lang w:eastAsia="hr-HR"/>
        </w:rPr>
        <w:t>u kojem se nalazi sjedište korisnika</w:t>
      </w:r>
      <w:r w:rsidR="00030A76">
        <w:rPr>
          <w:rFonts w:eastAsia="Times New Roman" w:cs="Calibri Light"/>
          <w:color w:val="000000"/>
          <w:lang w:eastAsia="hr-HR"/>
        </w:rPr>
        <w:t>.</w:t>
      </w:r>
    </w:p>
    <w:p w14:paraId="137378BF" w14:textId="6F3A579D" w:rsidR="00013CD3" w:rsidRDefault="00013CD3" w:rsidP="00013CD3">
      <w:pPr>
        <w:pStyle w:val="Bezproreda"/>
        <w:jc w:val="both"/>
        <w:rPr>
          <w:rFonts w:eastAsia="Times New Roman" w:cs="Calibri Light"/>
          <w:bCs/>
          <w:color w:val="000000"/>
          <w:lang w:eastAsia="hr-HR"/>
        </w:rPr>
      </w:pPr>
      <w:r w:rsidRPr="0036031A">
        <w:rPr>
          <w:rFonts w:eastAsia="Times New Roman" w:cs="Calibri Light"/>
          <w:bCs/>
          <w:color w:val="000000"/>
          <w:lang w:eastAsia="hr-HR"/>
        </w:rPr>
        <w:t>Ako se ulaganje odvija u v</w:t>
      </w:r>
      <w:r w:rsidR="003466B4">
        <w:rPr>
          <w:rFonts w:eastAsia="Times New Roman" w:cs="Calibri Light"/>
          <w:bCs/>
          <w:color w:val="000000"/>
          <w:lang w:eastAsia="hr-HR"/>
        </w:rPr>
        <w:t xml:space="preserve">iše područja, a zbroj troškova </w:t>
      </w:r>
      <w:r w:rsidR="00A553F5">
        <w:rPr>
          <w:rFonts w:eastAsia="Times New Roman" w:cs="Calibri Light"/>
          <w:bCs/>
          <w:color w:val="000000"/>
          <w:lang w:eastAsia="hr-HR"/>
        </w:rPr>
        <w:t>ulaganja u tim</w:t>
      </w:r>
      <w:r w:rsidRPr="0036031A">
        <w:rPr>
          <w:rFonts w:eastAsia="Times New Roman" w:cs="Calibri Light"/>
          <w:bCs/>
          <w:color w:val="000000"/>
          <w:lang w:eastAsia="hr-HR"/>
        </w:rPr>
        <w:t xml:space="preserve"> područj</w:t>
      </w:r>
      <w:r w:rsidR="00A553F5">
        <w:rPr>
          <w:rFonts w:eastAsia="Times New Roman" w:cs="Calibri Light"/>
          <w:bCs/>
          <w:color w:val="000000"/>
          <w:lang w:eastAsia="hr-HR"/>
        </w:rPr>
        <w:t>ima</w:t>
      </w:r>
      <w:r w:rsidRPr="0036031A">
        <w:rPr>
          <w:rFonts w:eastAsia="Times New Roman" w:cs="Calibri Light"/>
          <w:bCs/>
          <w:color w:val="000000"/>
          <w:lang w:eastAsia="hr-HR"/>
        </w:rPr>
        <w:t xml:space="preserve"> iznosi više od 50% prihvatljivih troškova u projektu, korisnik ostvaruje bodov</w:t>
      </w:r>
      <w:r w:rsidR="003E3D2C">
        <w:rPr>
          <w:rFonts w:eastAsia="Times New Roman" w:cs="Calibri Light"/>
          <w:bCs/>
          <w:color w:val="000000"/>
          <w:lang w:eastAsia="hr-HR"/>
        </w:rPr>
        <w:t>e</w:t>
      </w:r>
      <w:r w:rsidRPr="0036031A">
        <w:rPr>
          <w:rFonts w:eastAsia="Times New Roman" w:cs="Calibri Light"/>
          <w:bCs/>
          <w:color w:val="000000"/>
          <w:lang w:eastAsia="hr-HR"/>
        </w:rPr>
        <w:t xml:space="preserve"> za područje s </w:t>
      </w:r>
      <w:r w:rsidR="00A553F5">
        <w:rPr>
          <w:rFonts w:eastAsia="Times New Roman" w:cs="Calibri Light"/>
          <w:bCs/>
          <w:color w:val="000000"/>
          <w:lang w:eastAsia="hr-HR"/>
        </w:rPr>
        <w:t>manjim</w:t>
      </w:r>
      <w:r w:rsidR="00A553F5" w:rsidRPr="0036031A">
        <w:rPr>
          <w:rFonts w:eastAsia="Times New Roman" w:cs="Calibri Light"/>
          <w:bCs/>
          <w:color w:val="000000"/>
          <w:lang w:eastAsia="hr-HR"/>
        </w:rPr>
        <w:t xml:space="preserve"> </w:t>
      </w:r>
      <w:r w:rsidRPr="0036031A">
        <w:rPr>
          <w:rFonts w:eastAsia="Times New Roman" w:cs="Calibri Light"/>
          <w:bCs/>
          <w:color w:val="000000"/>
          <w:lang w:eastAsia="hr-HR"/>
        </w:rPr>
        <w:t>brojem bodova.</w:t>
      </w:r>
    </w:p>
    <w:p w14:paraId="0C4B6C9C" w14:textId="44924C8D" w:rsidR="009D3AF0" w:rsidRDefault="009D3AF0" w:rsidP="00013CD3">
      <w:pPr>
        <w:pStyle w:val="Bezproreda"/>
        <w:jc w:val="both"/>
        <w:rPr>
          <w:rFonts w:eastAsia="Times New Roman" w:cs="Calibri Light"/>
          <w:bCs/>
          <w:color w:val="000000"/>
          <w:lang w:eastAsia="hr-HR"/>
        </w:rPr>
      </w:pPr>
    </w:p>
    <w:p w14:paraId="3B8F99AF" w14:textId="770E1664" w:rsidR="009D3AF0" w:rsidRPr="00FD5E2E" w:rsidRDefault="009D3AF0" w:rsidP="00013CD3">
      <w:pPr>
        <w:pStyle w:val="Bezproreda"/>
        <w:jc w:val="both"/>
        <w:rPr>
          <w:rFonts w:eastAsia="Times New Roman" w:cs="Calibri Light"/>
          <w:b/>
          <w:bCs/>
          <w:color w:val="000000"/>
          <w:u w:val="single"/>
          <w:lang w:eastAsia="hr-HR"/>
        </w:rPr>
      </w:pPr>
      <w:r w:rsidRPr="00FD5E2E">
        <w:rPr>
          <w:rFonts w:eastAsia="Times New Roman" w:cs="Calibri Light"/>
          <w:bCs/>
          <w:color w:val="000000"/>
          <w:u w:val="single"/>
          <w:lang w:eastAsia="hr-HR"/>
        </w:rPr>
        <w:t xml:space="preserve">KRITERIJ ODABIRA BR. 11 </w:t>
      </w:r>
      <w:r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„Mladi poljoprivrednici“</w:t>
      </w:r>
    </w:p>
    <w:p w14:paraId="438BDAAC" w14:textId="7BF8F4B6" w:rsidR="009D3AF0" w:rsidRPr="009D3AF0" w:rsidRDefault="009D3AF0" w:rsidP="00013CD3">
      <w:pPr>
        <w:pStyle w:val="Bezproreda"/>
        <w:jc w:val="both"/>
        <w:rPr>
          <w:rFonts w:eastAsia="Times New Roman" w:cs="Calibri Light"/>
          <w:bCs/>
          <w:color w:val="000000"/>
          <w:lang w:eastAsia="hr-HR"/>
        </w:rPr>
      </w:pPr>
      <w:r w:rsidRPr="00131935">
        <w:rPr>
          <w:rFonts w:eastAsia="Times New Roman" w:cs="Calibri Light"/>
          <w:bCs/>
          <w:color w:val="000000"/>
          <w:lang w:eastAsia="hr-HR"/>
        </w:rPr>
        <w:t xml:space="preserve">U slučaju zajedničkog projekta nije moguće ostvariti bodove </w:t>
      </w:r>
      <w:r w:rsidR="009D4AC4">
        <w:rPr>
          <w:rFonts w:eastAsia="Times New Roman" w:cs="Calibri Light"/>
          <w:bCs/>
          <w:color w:val="000000"/>
          <w:lang w:eastAsia="hr-HR"/>
        </w:rPr>
        <w:t>po</w:t>
      </w:r>
      <w:r w:rsidRPr="00156B91">
        <w:rPr>
          <w:rFonts w:eastAsia="Times New Roman" w:cs="Calibri Light"/>
          <w:bCs/>
          <w:color w:val="000000"/>
          <w:lang w:eastAsia="hr-HR"/>
        </w:rPr>
        <w:t xml:space="preserve"> ovom kriteriju.</w:t>
      </w:r>
    </w:p>
    <w:p w14:paraId="4FEC0397" w14:textId="77777777" w:rsidR="00013CD3" w:rsidRDefault="00013CD3" w:rsidP="00013CD3">
      <w:pPr>
        <w:pStyle w:val="Bezproreda"/>
        <w:jc w:val="both"/>
        <w:rPr>
          <w:rFonts w:eastAsia="Times New Roman" w:cs="Calibri Light"/>
          <w:bCs/>
          <w:color w:val="000000"/>
          <w:lang w:eastAsia="hr-HR"/>
        </w:rPr>
      </w:pPr>
    </w:p>
    <w:p w14:paraId="2DD1CF2F" w14:textId="77777777" w:rsidR="007F34F0" w:rsidRDefault="007F34F0" w:rsidP="00013CD3">
      <w:pPr>
        <w:pStyle w:val="Bezproreda"/>
        <w:jc w:val="both"/>
        <w:rPr>
          <w:u w:val="single"/>
        </w:rPr>
      </w:pPr>
    </w:p>
    <w:p w14:paraId="2C528748" w14:textId="77777777" w:rsidR="00013CD3" w:rsidRPr="00FD5E2E" w:rsidRDefault="00013CD3" w:rsidP="00013CD3">
      <w:pPr>
        <w:pStyle w:val="Bezproreda"/>
        <w:jc w:val="both"/>
        <w:rPr>
          <w:rFonts w:eastAsia="Times New Roman" w:cs="Calibri Light"/>
          <w:b/>
          <w:bCs/>
          <w:color w:val="000000"/>
          <w:u w:val="single"/>
          <w:lang w:eastAsia="hr-HR"/>
        </w:rPr>
      </w:pPr>
      <w:bookmarkStart w:id="0" w:name="_GoBack"/>
      <w:bookmarkEnd w:id="0"/>
      <w:r w:rsidRPr="00FD5E2E">
        <w:rPr>
          <w:u w:val="single"/>
        </w:rPr>
        <w:lastRenderedPageBreak/>
        <w:t>KRITERIJ ODABIRA BR. 12 „</w:t>
      </w:r>
      <w:r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 xml:space="preserve">Novi/inovativni </w:t>
      </w:r>
      <w:r w:rsidR="00133603"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proizvod/</w:t>
      </w:r>
      <w:r w:rsidRPr="00FD5E2E">
        <w:rPr>
          <w:rFonts w:eastAsia="Times New Roman" w:cs="Calibri Light"/>
          <w:b/>
          <w:bCs/>
          <w:color w:val="000000"/>
          <w:u w:val="single"/>
          <w:lang w:eastAsia="hr-HR"/>
        </w:rPr>
        <w:t>tehničko-tehnološki proces“</w:t>
      </w:r>
    </w:p>
    <w:p w14:paraId="751C9D4F" w14:textId="77777777" w:rsidR="00013CD3" w:rsidRPr="003E017C" w:rsidRDefault="00013CD3" w:rsidP="00013CD3">
      <w:pPr>
        <w:pStyle w:val="Bezproreda"/>
        <w:jc w:val="both"/>
        <w:rPr>
          <w:rFonts w:eastAsia="Times New Roman" w:cs="Calibri Light"/>
          <w:bCs/>
          <w:color w:val="000000"/>
          <w:lang w:eastAsia="hr-HR"/>
        </w:rPr>
      </w:pPr>
    </w:p>
    <w:p w14:paraId="65CBDCD4" w14:textId="69F75B46" w:rsidR="00013CD3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88669B">
        <w:rPr>
          <w:rFonts w:eastAsia="Times New Roman" w:cs="Calibri Light"/>
          <w:color w:val="000000"/>
          <w:lang w:eastAsia="hr-HR"/>
        </w:rPr>
        <w:t xml:space="preserve">Novi proizvod je svaki proizvod koji je nastao kao </w:t>
      </w:r>
      <w:r w:rsidR="003E3D2C">
        <w:rPr>
          <w:rFonts w:eastAsia="Times New Roman" w:cs="Calibri Light"/>
          <w:color w:val="000000"/>
          <w:lang w:eastAsia="hr-HR"/>
        </w:rPr>
        <w:t xml:space="preserve">rezultat </w:t>
      </w:r>
      <w:r w:rsidRPr="0088669B">
        <w:rPr>
          <w:rFonts w:eastAsia="Times New Roman" w:cs="Calibri Light"/>
          <w:color w:val="000000"/>
          <w:lang w:eastAsia="hr-HR"/>
        </w:rPr>
        <w:t xml:space="preserve">ulaganja </w:t>
      </w:r>
      <w:r w:rsidR="003E3D2C">
        <w:rPr>
          <w:rFonts w:eastAsia="Times New Roman" w:cs="Calibri Light"/>
          <w:color w:val="000000"/>
          <w:lang w:eastAsia="hr-HR"/>
        </w:rPr>
        <w:t>i naveden je</w:t>
      </w:r>
      <w:r w:rsidRPr="0088669B">
        <w:rPr>
          <w:rFonts w:eastAsia="Times New Roman" w:cs="Calibri Light"/>
          <w:color w:val="000000"/>
          <w:lang w:eastAsia="hr-HR"/>
        </w:rPr>
        <w:t xml:space="preserve"> u tablici „Struktura i dinamika EPFRR proizvodnje“ na način da stvara novu dodanu vrijednost.</w:t>
      </w:r>
    </w:p>
    <w:p w14:paraId="517589A2" w14:textId="77777777" w:rsidR="00131935" w:rsidRDefault="00131935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</w:p>
    <w:p w14:paraId="58E3980A" w14:textId="77777777" w:rsidR="00013CD3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88669B">
        <w:rPr>
          <w:rFonts w:eastAsia="Times New Roman" w:cs="Calibri Light"/>
          <w:color w:val="000000"/>
          <w:lang w:eastAsia="hr-HR"/>
        </w:rPr>
        <w:t>Novim proizvodom u kontekstu proizvodnje smatraju se aktivnosti koje dovode do povećanja dodane vrijednosti konačnog proizvoda (pakiranje, sortiranje i sl.) te je vidljivo da po jedinici mjere donosi dodanu vrijednost u odnosu na postojeću proizvodnju.</w:t>
      </w:r>
    </w:p>
    <w:p w14:paraId="252DF9B3" w14:textId="77777777" w:rsidR="00131935" w:rsidRPr="0088669B" w:rsidRDefault="00131935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</w:p>
    <w:p w14:paraId="2E4CAE78" w14:textId="72E8AD04" w:rsidR="00013CD3" w:rsidRPr="0088669B" w:rsidRDefault="00013CD3" w:rsidP="00013CD3">
      <w:pPr>
        <w:pStyle w:val="Bezproreda"/>
        <w:jc w:val="both"/>
        <w:rPr>
          <w:rFonts w:eastAsia="Times New Roman" w:cs="Calibri Light"/>
          <w:color w:val="000000"/>
          <w:lang w:eastAsia="hr-HR"/>
        </w:rPr>
      </w:pPr>
      <w:r w:rsidRPr="0088669B">
        <w:rPr>
          <w:rFonts w:eastAsia="Times New Roman" w:cs="Calibri Light"/>
          <w:color w:val="000000"/>
          <w:lang w:eastAsia="hr-HR"/>
        </w:rPr>
        <w:t xml:space="preserve">Uvođenje novog/unaprijeđenog </w:t>
      </w:r>
      <w:r w:rsidR="00FD5E2E">
        <w:rPr>
          <w:rFonts w:eastAsia="Times New Roman" w:cs="Calibri Light"/>
          <w:color w:val="000000"/>
          <w:lang w:eastAsia="hr-HR"/>
        </w:rPr>
        <w:t xml:space="preserve">tehničko - </w:t>
      </w:r>
      <w:r w:rsidRPr="0088669B">
        <w:rPr>
          <w:rFonts w:eastAsia="Times New Roman" w:cs="Calibri Light"/>
          <w:color w:val="000000"/>
          <w:lang w:eastAsia="hr-HR"/>
        </w:rPr>
        <w:t xml:space="preserve">tehnološkog procesa predstavljaju aktivnosti kojima se postojeći tehnološki proces automatizira, </w:t>
      </w:r>
      <w:proofErr w:type="spellStart"/>
      <w:r w:rsidRPr="0088669B">
        <w:rPr>
          <w:rFonts w:eastAsia="Times New Roman" w:cs="Calibri Light"/>
          <w:color w:val="000000"/>
          <w:lang w:eastAsia="hr-HR"/>
        </w:rPr>
        <w:t>informatizira</w:t>
      </w:r>
      <w:proofErr w:type="spellEnd"/>
      <w:r w:rsidRPr="0088669B">
        <w:rPr>
          <w:rFonts w:eastAsia="Times New Roman" w:cs="Calibri Light"/>
          <w:color w:val="000000"/>
          <w:lang w:eastAsia="hr-HR"/>
        </w:rPr>
        <w:t xml:space="preserve"> (čime se isključuje kupnja osobnih računala i printera za redovito poslovanje te računalnih programa namijenjenih svakodnevnom uredskom poslovanju) ili unaprjeđuje na način da utječe na povećanu produktivnost, smanjenje utroška energije, očuvanje okoliša, ukupan prinos ili prirast i sl.</w:t>
      </w:r>
    </w:p>
    <w:p w14:paraId="4ECE0E94" w14:textId="7C75F0D3" w:rsidR="00013CD3" w:rsidRDefault="00013CD3" w:rsidP="00013CD3">
      <w:pPr>
        <w:pStyle w:val="Bezproreda"/>
        <w:jc w:val="both"/>
      </w:pPr>
      <w:r w:rsidRPr="0088669B">
        <w:rPr>
          <w:rFonts w:eastAsia="Times New Roman" w:cs="Calibri Light"/>
          <w:color w:val="000000"/>
          <w:lang w:eastAsia="hr-HR"/>
        </w:rPr>
        <w:t xml:space="preserve">Kupnja mehanizacije i/ili gospodarskih vozila ni u kom slučaju ne može se smatrati unaprjeđenjem </w:t>
      </w:r>
      <w:r w:rsidR="00FD5E2E">
        <w:rPr>
          <w:rFonts w:eastAsia="Times New Roman" w:cs="Calibri Light"/>
          <w:color w:val="000000"/>
          <w:lang w:eastAsia="hr-HR"/>
        </w:rPr>
        <w:t xml:space="preserve">tehničko - </w:t>
      </w:r>
      <w:r w:rsidRPr="0088669B">
        <w:rPr>
          <w:rFonts w:eastAsia="Times New Roman" w:cs="Calibri Light"/>
          <w:color w:val="000000"/>
          <w:lang w:eastAsia="hr-HR"/>
        </w:rPr>
        <w:t>tehnološkog procesa.</w:t>
      </w:r>
    </w:p>
    <w:p w14:paraId="52122D90" w14:textId="77777777" w:rsidR="008001F3" w:rsidRDefault="008001F3" w:rsidP="00CF4CBF">
      <w:pPr>
        <w:rPr>
          <w:rFonts w:ascii="Calibri" w:hAnsi="Calibri" w:cs="Calibri"/>
          <w:b/>
          <w:u w:val="single"/>
        </w:rPr>
      </w:pPr>
    </w:p>
    <w:sectPr w:rsidR="008001F3" w:rsidSect="00013C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91A09" w15:done="0"/>
  <w15:commentEx w15:paraId="62F491DD" w15:done="0"/>
  <w15:commentEx w15:paraId="73F413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14C47" w14:textId="77777777" w:rsidR="001954BD" w:rsidRDefault="001954BD" w:rsidP="008001F3">
      <w:pPr>
        <w:spacing w:after="0" w:line="240" w:lineRule="auto"/>
      </w:pPr>
      <w:r>
        <w:separator/>
      </w:r>
    </w:p>
  </w:endnote>
  <w:endnote w:type="continuationSeparator" w:id="0">
    <w:p w14:paraId="6477C7F6" w14:textId="77777777" w:rsidR="001954BD" w:rsidRDefault="001954BD" w:rsidP="0080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D77C" w14:textId="77777777" w:rsidR="001954BD" w:rsidRDefault="001954BD" w:rsidP="008001F3">
      <w:pPr>
        <w:spacing w:after="0" w:line="240" w:lineRule="auto"/>
      </w:pPr>
      <w:r>
        <w:separator/>
      </w:r>
    </w:p>
  </w:footnote>
  <w:footnote w:type="continuationSeparator" w:id="0">
    <w:p w14:paraId="76AED521" w14:textId="77777777" w:rsidR="001954BD" w:rsidRDefault="001954BD" w:rsidP="008001F3">
      <w:pPr>
        <w:spacing w:after="0" w:line="240" w:lineRule="auto"/>
      </w:pPr>
      <w:r>
        <w:continuationSeparator/>
      </w:r>
    </w:p>
  </w:footnote>
  <w:footnote w:id="1">
    <w:p w14:paraId="1BEBC6E2" w14:textId="77777777" w:rsidR="00013CD3" w:rsidRDefault="00013CD3" w:rsidP="00013CD3"/>
  </w:footnote>
  <w:footnote w:id="2">
    <w:p w14:paraId="3F398E30" w14:textId="7A464595" w:rsidR="00013CD3" w:rsidRPr="00C60CCF" w:rsidRDefault="00013CD3" w:rsidP="00013CD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C60CCF">
        <w:t xml:space="preserve">Dokument na temelju kojeg se utvrđuju podaci: </w:t>
      </w:r>
      <w:r w:rsidR="004E17A1">
        <w:t xml:space="preserve">obrazac </w:t>
      </w:r>
      <w:r w:rsidRPr="00C60CCF">
        <w:t xml:space="preserve">GFI-POD </w:t>
      </w:r>
      <w:r w:rsidR="004E17A1">
        <w:t xml:space="preserve">i obrazac DI </w:t>
      </w:r>
    </w:p>
  </w:footnote>
  <w:footnote w:id="3">
    <w:p w14:paraId="1E10A939" w14:textId="74E84F00" w:rsidR="00013CD3" w:rsidRPr="00C60CCF" w:rsidRDefault="00013CD3" w:rsidP="00013CD3">
      <w:pPr>
        <w:pStyle w:val="Tekstfusnote"/>
      </w:pPr>
      <w:r w:rsidRPr="00C60CCF">
        <w:rPr>
          <w:rStyle w:val="Referencafusnote"/>
        </w:rPr>
        <w:footnoteRef/>
      </w:r>
      <w:r w:rsidRPr="00C60CCF">
        <w:t xml:space="preserve"> Dokument na temelju kojeg se utvrđuju podaci: </w:t>
      </w:r>
      <w:r w:rsidR="00F66AC4">
        <w:t xml:space="preserve">obrazac </w:t>
      </w:r>
      <w:r w:rsidR="00F66AC4">
        <w:rPr>
          <w:rFonts w:cstheme="minorHAnsi"/>
        </w:rPr>
        <w:t xml:space="preserve">P-PPI i Obrazac DI </w:t>
      </w:r>
    </w:p>
  </w:footnote>
  <w:footnote w:id="4">
    <w:p w14:paraId="1E052F6C" w14:textId="77777777" w:rsidR="00EC762A" w:rsidRPr="004B3174" w:rsidRDefault="00EC762A" w:rsidP="00EC762A">
      <w:pPr>
        <w:pStyle w:val="Tekstfusnote"/>
      </w:pPr>
      <w:r w:rsidRPr="004B3174">
        <w:rPr>
          <w:rStyle w:val="Referencafusnote"/>
        </w:rPr>
        <w:footnoteRef/>
      </w:r>
      <w:r w:rsidRPr="004B3174">
        <w:t xml:space="preserve"> Dokument na temelju kojeg se utvrđuju podaci: Financijski izvještaji proračunskih korisnika</w:t>
      </w:r>
    </w:p>
    <w:p w14:paraId="7D5D3A95" w14:textId="77777777" w:rsidR="00EC762A" w:rsidRPr="00FE4398" w:rsidRDefault="00EC762A" w:rsidP="00EC762A">
      <w:pPr>
        <w:pStyle w:val="Tekstfusnote"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61FB" w14:textId="1AA1B522" w:rsidR="004B3174" w:rsidRPr="004B3174" w:rsidRDefault="004B3174">
    <w:pPr>
      <w:pStyle w:val="Zaglavlje"/>
      <w:rPr>
        <w:b/>
      </w:rPr>
    </w:pPr>
    <w:r w:rsidRPr="004B3174">
      <w:rPr>
        <w:b/>
      </w:rPr>
      <w:t>PRILOG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D1"/>
    <w:multiLevelType w:val="hybridMultilevel"/>
    <w:tmpl w:val="04965EE8"/>
    <w:lvl w:ilvl="0" w:tplc="041A001B">
      <w:start w:val="1"/>
      <w:numFmt w:val="low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44BDC"/>
    <w:multiLevelType w:val="hybridMultilevel"/>
    <w:tmpl w:val="856CDF0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6ED4"/>
    <w:multiLevelType w:val="hybridMultilevel"/>
    <w:tmpl w:val="6F36DE3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B2D9A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E77A9"/>
    <w:multiLevelType w:val="hybridMultilevel"/>
    <w:tmpl w:val="DEC01E94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F72FE"/>
    <w:multiLevelType w:val="hybridMultilevel"/>
    <w:tmpl w:val="DF0676D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F0709"/>
    <w:multiLevelType w:val="hybridMultilevel"/>
    <w:tmpl w:val="33ACC534"/>
    <w:lvl w:ilvl="0" w:tplc="041A001B">
      <w:start w:val="1"/>
      <w:numFmt w:val="low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118AB"/>
    <w:multiLevelType w:val="hybridMultilevel"/>
    <w:tmpl w:val="8D489E86"/>
    <w:lvl w:ilvl="0" w:tplc="770A2B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C1A0E"/>
    <w:multiLevelType w:val="hybridMultilevel"/>
    <w:tmpl w:val="6F4645B8"/>
    <w:lvl w:ilvl="0" w:tplc="041A001B">
      <w:start w:val="1"/>
      <w:numFmt w:val="lowerRoman"/>
      <w:lvlText w:val="%1."/>
      <w:lvlJc w:val="righ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7E53D6"/>
    <w:multiLevelType w:val="hybridMultilevel"/>
    <w:tmpl w:val="F3965AE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D74DC"/>
    <w:multiLevelType w:val="hybridMultilevel"/>
    <w:tmpl w:val="6DAA7EBC"/>
    <w:lvl w:ilvl="0" w:tplc="661469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51BA0"/>
    <w:multiLevelType w:val="hybridMultilevel"/>
    <w:tmpl w:val="21F079D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0464A0"/>
    <w:multiLevelType w:val="hybridMultilevel"/>
    <w:tmpl w:val="3E40930C"/>
    <w:lvl w:ilvl="0" w:tplc="BE8476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412E"/>
    <w:multiLevelType w:val="hybridMultilevel"/>
    <w:tmpl w:val="2330521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89768D"/>
    <w:multiLevelType w:val="hybridMultilevel"/>
    <w:tmpl w:val="2F9E50A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B2D9A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663D19"/>
    <w:multiLevelType w:val="hybridMultilevel"/>
    <w:tmpl w:val="B5F4F0F6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BE3671"/>
    <w:multiLevelType w:val="hybridMultilevel"/>
    <w:tmpl w:val="BA12F324"/>
    <w:lvl w:ilvl="0" w:tplc="041A001B">
      <w:start w:val="1"/>
      <w:numFmt w:val="lowerRoman"/>
      <w:lvlText w:val="%1."/>
      <w:lvlJc w:val="righ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C0019"/>
    <w:multiLevelType w:val="hybridMultilevel"/>
    <w:tmpl w:val="B5F4F0F6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112045"/>
    <w:multiLevelType w:val="hybridMultilevel"/>
    <w:tmpl w:val="6D1656F0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A25773"/>
    <w:multiLevelType w:val="hybridMultilevel"/>
    <w:tmpl w:val="30DCD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C26AB"/>
    <w:multiLevelType w:val="hybridMultilevel"/>
    <w:tmpl w:val="F3965AE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F357D8"/>
    <w:multiLevelType w:val="hybridMultilevel"/>
    <w:tmpl w:val="98C4156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04F37"/>
    <w:multiLevelType w:val="hybridMultilevel"/>
    <w:tmpl w:val="6478D752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5"/>
  </w:num>
  <w:num w:numId="5">
    <w:abstractNumId w:val="4"/>
  </w:num>
  <w:num w:numId="6">
    <w:abstractNumId w:val="21"/>
  </w:num>
  <w:num w:numId="7">
    <w:abstractNumId w:val="5"/>
  </w:num>
  <w:num w:numId="8">
    <w:abstractNumId w:val="18"/>
  </w:num>
  <w:num w:numId="9">
    <w:abstractNumId w:val="1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7"/>
  </w:num>
  <w:num w:numId="16">
    <w:abstractNumId w:val="8"/>
  </w:num>
  <w:num w:numId="17">
    <w:abstractNumId w:val="19"/>
  </w:num>
  <w:num w:numId="18">
    <w:abstractNumId w:val="11"/>
  </w:num>
  <w:num w:numId="19">
    <w:abstractNumId w:val="6"/>
  </w:num>
  <w:num w:numId="20">
    <w:abstractNumId w:val="17"/>
  </w:num>
  <w:num w:numId="21">
    <w:abstractNumId w:val="20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 Sabljić">
    <w15:presenceInfo w15:providerId="AD" w15:userId="S-1-5-21-1274013866-2999615686-439227460-4803"/>
  </w15:person>
  <w15:person w15:author="Lidija Majić">
    <w15:presenceInfo w15:providerId="AD" w15:userId="S-1-5-21-1274013866-2999615686-439227460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013CD3"/>
    <w:rsid w:val="00015D49"/>
    <w:rsid w:val="00023235"/>
    <w:rsid w:val="00030A76"/>
    <w:rsid w:val="00035EB3"/>
    <w:rsid w:val="00041440"/>
    <w:rsid w:val="00047D93"/>
    <w:rsid w:val="00070E72"/>
    <w:rsid w:val="00074B24"/>
    <w:rsid w:val="00093964"/>
    <w:rsid w:val="000A2C71"/>
    <w:rsid w:val="000B1C45"/>
    <w:rsid w:val="000C6239"/>
    <w:rsid w:val="000D3D6F"/>
    <w:rsid w:val="000D4A8A"/>
    <w:rsid w:val="000F0ED8"/>
    <w:rsid w:val="000F596A"/>
    <w:rsid w:val="001062D1"/>
    <w:rsid w:val="001241E9"/>
    <w:rsid w:val="00125713"/>
    <w:rsid w:val="00131935"/>
    <w:rsid w:val="00133603"/>
    <w:rsid w:val="0014699A"/>
    <w:rsid w:val="00156B91"/>
    <w:rsid w:val="00161574"/>
    <w:rsid w:val="00166F55"/>
    <w:rsid w:val="001675BF"/>
    <w:rsid w:val="00171C2A"/>
    <w:rsid w:val="001723B0"/>
    <w:rsid w:val="00172EE8"/>
    <w:rsid w:val="001739F0"/>
    <w:rsid w:val="001954BD"/>
    <w:rsid w:val="00196EFD"/>
    <w:rsid w:val="001A04FE"/>
    <w:rsid w:val="001A3EEF"/>
    <w:rsid w:val="001B75ED"/>
    <w:rsid w:val="001C0D42"/>
    <w:rsid w:val="001E18D4"/>
    <w:rsid w:val="001E4AAB"/>
    <w:rsid w:val="001E63A9"/>
    <w:rsid w:val="001E71EE"/>
    <w:rsid w:val="001F34DC"/>
    <w:rsid w:val="001F3F5B"/>
    <w:rsid w:val="00212B1F"/>
    <w:rsid w:val="00223D70"/>
    <w:rsid w:val="00224ADF"/>
    <w:rsid w:val="00226E72"/>
    <w:rsid w:val="00266EAB"/>
    <w:rsid w:val="00273C69"/>
    <w:rsid w:val="00275AAA"/>
    <w:rsid w:val="00275D4B"/>
    <w:rsid w:val="002A7725"/>
    <w:rsid w:val="002B7B2C"/>
    <w:rsid w:val="002D1031"/>
    <w:rsid w:val="002F5F61"/>
    <w:rsid w:val="00313D89"/>
    <w:rsid w:val="00317C51"/>
    <w:rsid w:val="003321C6"/>
    <w:rsid w:val="00332BD9"/>
    <w:rsid w:val="003443DD"/>
    <w:rsid w:val="00344B43"/>
    <w:rsid w:val="0034599A"/>
    <w:rsid w:val="003466B4"/>
    <w:rsid w:val="003651A1"/>
    <w:rsid w:val="00372BD8"/>
    <w:rsid w:val="00380F5D"/>
    <w:rsid w:val="00391AB8"/>
    <w:rsid w:val="003947E4"/>
    <w:rsid w:val="003A2382"/>
    <w:rsid w:val="003A69C6"/>
    <w:rsid w:val="003B0BAA"/>
    <w:rsid w:val="003B3AD0"/>
    <w:rsid w:val="003C2057"/>
    <w:rsid w:val="003D3569"/>
    <w:rsid w:val="003E3D2C"/>
    <w:rsid w:val="003E5661"/>
    <w:rsid w:val="003F06F1"/>
    <w:rsid w:val="003F5BFF"/>
    <w:rsid w:val="004014A2"/>
    <w:rsid w:val="00402BF1"/>
    <w:rsid w:val="0042387C"/>
    <w:rsid w:val="00435F71"/>
    <w:rsid w:val="0044112A"/>
    <w:rsid w:val="00443072"/>
    <w:rsid w:val="00443203"/>
    <w:rsid w:val="00446A44"/>
    <w:rsid w:val="00456698"/>
    <w:rsid w:val="004608AE"/>
    <w:rsid w:val="0048086A"/>
    <w:rsid w:val="00482E4F"/>
    <w:rsid w:val="00491136"/>
    <w:rsid w:val="004936B5"/>
    <w:rsid w:val="00497627"/>
    <w:rsid w:val="004A7873"/>
    <w:rsid w:val="004B3174"/>
    <w:rsid w:val="004B357E"/>
    <w:rsid w:val="004E17A1"/>
    <w:rsid w:val="004E2BA6"/>
    <w:rsid w:val="004F4F79"/>
    <w:rsid w:val="00500D0B"/>
    <w:rsid w:val="005075EA"/>
    <w:rsid w:val="00510541"/>
    <w:rsid w:val="00520D14"/>
    <w:rsid w:val="0052789B"/>
    <w:rsid w:val="00530B20"/>
    <w:rsid w:val="00540AFE"/>
    <w:rsid w:val="00560CB0"/>
    <w:rsid w:val="00583D69"/>
    <w:rsid w:val="0058665B"/>
    <w:rsid w:val="00590D5D"/>
    <w:rsid w:val="005A0B4F"/>
    <w:rsid w:val="005B62CB"/>
    <w:rsid w:val="005B7967"/>
    <w:rsid w:val="005C366B"/>
    <w:rsid w:val="005D4078"/>
    <w:rsid w:val="005D6B8E"/>
    <w:rsid w:val="005E53BD"/>
    <w:rsid w:val="005E6086"/>
    <w:rsid w:val="005F146B"/>
    <w:rsid w:val="00610B42"/>
    <w:rsid w:val="006160AB"/>
    <w:rsid w:val="00634DB9"/>
    <w:rsid w:val="006444A1"/>
    <w:rsid w:val="00653F24"/>
    <w:rsid w:val="00661F11"/>
    <w:rsid w:val="0066284B"/>
    <w:rsid w:val="00684A98"/>
    <w:rsid w:val="00684E58"/>
    <w:rsid w:val="00691EB2"/>
    <w:rsid w:val="00692DD8"/>
    <w:rsid w:val="006B0CF4"/>
    <w:rsid w:val="006D0B5A"/>
    <w:rsid w:val="006D127D"/>
    <w:rsid w:val="006D6919"/>
    <w:rsid w:val="006E72C8"/>
    <w:rsid w:val="006F1DF0"/>
    <w:rsid w:val="006F2632"/>
    <w:rsid w:val="006F40AE"/>
    <w:rsid w:val="00710345"/>
    <w:rsid w:val="00711719"/>
    <w:rsid w:val="00717AC6"/>
    <w:rsid w:val="0074195D"/>
    <w:rsid w:val="00741AC2"/>
    <w:rsid w:val="007462BB"/>
    <w:rsid w:val="00756A9E"/>
    <w:rsid w:val="00784E59"/>
    <w:rsid w:val="0078668B"/>
    <w:rsid w:val="007A57CD"/>
    <w:rsid w:val="007A796D"/>
    <w:rsid w:val="007B50CA"/>
    <w:rsid w:val="007B5E0E"/>
    <w:rsid w:val="007C50DE"/>
    <w:rsid w:val="007F34F0"/>
    <w:rsid w:val="008001F3"/>
    <w:rsid w:val="008018DB"/>
    <w:rsid w:val="00801CD2"/>
    <w:rsid w:val="0080448E"/>
    <w:rsid w:val="00807CB1"/>
    <w:rsid w:val="0081171D"/>
    <w:rsid w:val="00822359"/>
    <w:rsid w:val="008438A3"/>
    <w:rsid w:val="008B39D6"/>
    <w:rsid w:val="008B469F"/>
    <w:rsid w:val="008C233C"/>
    <w:rsid w:val="008D049D"/>
    <w:rsid w:val="008E0733"/>
    <w:rsid w:val="008F77AC"/>
    <w:rsid w:val="009106AA"/>
    <w:rsid w:val="00913D11"/>
    <w:rsid w:val="0091404F"/>
    <w:rsid w:val="0091533F"/>
    <w:rsid w:val="00917DC5"/>
    <w:rsid w:val="00921887"/>
    <w:rsid w:val="00947419"/>
    <w:rsid w:val="00966F5B"/>
    <w:rsid w:val="00967952"/>
    <w:rsid w:val="00971B19"/>
    <w:rsid w:val="009754C8"/>
    <w:rsid w:val="009760B0"/>
    <w:rsid w:val="009835F6"/>
    <w:rsid w:val="009A7940"/>
    <w:rsid w:val="009A7B62"/>
    <w:rsid w:val="009B17B8"/>
    <w:rsid w:val="009C5ADD"/>
    <w:rsid w:val="009C5D65"/>
    <w:rsid w:val="009D3AF0"/>
    <w:rsid w:val="009D497F"/>
    <w:rsid w:val="009D4AC4"/>
    <w:rsid w:val="009E7B0B"/>
    <w:rsid w:val="00A07E69"/>
    <w:rsid w:val="00A318FE"/>
    <w:rsid w:val="00A43A7D"/>
    <w:rsid w:val="00A43E3B"/>
    <w:rsid w:val="00A50FF3"/>
    <w:rsid w:val="00A52ADB"/>
    <w:rsid w:val="00A553F5"/>
    <w:rsid w:val="00A57421"/>
    <w:rsid w:val="00A604F0"/>
    <w:rsid w:val="00A61CEC"/>
    <w:rsid w:val="00A7305E"/>
    <w:rsid w:val="00A7545D"/>
    <w:rsid w:val="00AA055B"/>
    <w:rsid w:val="00AB19F5"/>
    <w:rsid w:val="00AE7B13"/>
    <w:rsid w:val="00B01459"/>
    <w:rsid w:val="00B033AB"/>
    <w:rsid w:val="00B06829"/>
    <w:rsid w:val="00B138B5"/>
    <w:rsid w:val="00B2187B"/>
    <w:rsid w:val="00B24F03"/>
    <w:rsid w:val="00B51014"/>
    <w:rsid w:val="00B70F6C"/>
    <w:rsid w:val="00B72113"/>
    <w:rsid w:val="00BB3D3B"/>
    <w:rsid w:val="00BB588A"/>
    <w:rsid w:val="00BC5286"/>
    <w:rsid w:val="00BE0034"/>
    <w:rsid w:val="00BE3F74"/>
    <w:rsid w:val="00C0036A"/>
    <w:rsid w:val="00C107DC"/>
    <w:rsid w:val="00C349FC"/>
    <w:rsid w:val="00C4789F"/>
    <w:rsid w:val="00C5658F"/>
    <w:rsid w:val="00C7327D"/>
    <w:rsid w:val="00C802C2"/>
    <w:rsid w:val="00C83E08"/>
    <w:rsid w:val="00C87AC2"/>
    <w:rsid w:val="00CB45EA"/>
    <w:rsid w:val="00CB6187"/>
    <w:rsid w:val="00CC1D9F"/>
    <w:rsid w:val="00CE789E"/>
    <w:rsid w:val="00CF4CBF"/>
    <w:rsid w:val="00CF600D"/>
    <w:rsid w:val="00D01B20"/>
    <w:rsid w:val="00D03EC6"/>
    <w:rsid w:val="00D044A6"/>
    <w:rsid w:val="00D074CE"/>
    <w:rsid w:val="00D24A42"/>
    <w:rsid w:val="00D42D38"/>
    <w:rsid w:val="00D4479D"/>
    <w:rsid w:val="00D709AA"/>
    <w:rsid w:val="00D92D87"/>
    <w:rsid w:val="00DA3492"/>
    <w:rsid w:val="00DC14B8"/>
    <w:rsid w:val="00DC419A"/>
    <w:rsid w:val="00DC4AA9"/>
    <w:rsid w:val="00DE5B8A"/>
    <w:rsid w:val="00E00880"/>
    <w:rsid w:val="00E07814"/>
    <w:rsid w:val="00E146F7"/>
    <w:rsid w:val="00E33549"/>
    <w:rsid w:val="00E354F0"/>
    <w:rsid w:val="00E4132C"/>
    <w:rsid w:val="00E50A6E"/>
    <w:rsid w:val="00E50A77"/>
    <w:rsid w:val="00E80C94"/>
    <w:rsid w:val="00E816DC"/>
    <w:rsid w:val="00E83FD5"/>
    <w:rsid w:val="00E873C2"/>
    <w:rsid w:val="00E94B7E"/>
    <w:rsid w:val="00EC27A6"/>
    <w:rsid w:val="00EC762A"/>
    <w:rsid w:val="00EE433A"/>
    <w:rsid w:val="00F10A86"/>
    <w:rsid w:val="00F11CB9"/>
    <w:rsid w:val="00F24F78"/>
    <w:rsid w:val="00F27A4D"/>
    <w:rsid w:val="00F27EBD"/>
    <w:rsid w:val="00F30DB0"/>
    <w:rsid w:val="00F322EE"/>
    <w:rsid w:val="00F432BF"/>
    <w:rsid w:val="00F46427"/>
    <w:rsid w:val="00F52950"/>
    <w:rsid w:val="00F6319F"/>
    <w:rsid w:val="00F651D4"/>
    <w:rsid w:val="00F66AC4"/>
    <w:rsid w:val="00F76596"/>
    <w:rsid w:val="00F81B90"/>
    <w:rsid w:val="00F86CA0"/>
    <w:rsid w:val="00F954B2"/>
    <w:rsid w:val="00FB217A"/>
    <w:rsid w:val="00FC3AE2"/>
    <w:rsid w:val="00FC61BD"/>
    <w:rsid w:val="00FC6F20"/>
    <w:rsid w:val="00FD5E2E"/>
    <w:rsid w:val="00FF0F75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C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4B7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414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414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414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14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144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44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001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01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01F3"/>
    <w:rPr>
      <w:vertAlign w:val="superscript"/>
    </w:rPr>
  </w:style>
  <w:style w:type="paragraph" w:styleId="Bezproreda">
    <w:name w:val="No Spacing"/>
    <w:uiPriority w:val="1"/>
    <w:qFormat/>
    <w:rsid w:val="00013CD3"/>
    <w:pPr>
      <w:spacing w:after="0" w:line="240" w:lineRule="auto"/>
    </w:pPr>
  </w:style>
  <w:style w:type="paragraph" w:styleId="Revizija">
    <w:name w:val="Revision"/>
    <w:hidden/>
    <w:uiPriority w:val="99"/>
    <w:semiHidden/>
    <w:rsid w:val="006B0CF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935"/>
  </w:style>
  <w:style w:type="paragraph" w:styleId="Podnoje">
    <w:name w:val="footer"/>
    <w:basedOn w:val="Normal"/>
    <w:link w:val="PodnojeChar"/>
    <w:uiPriority w:val="99"/>
    <w:unhideWhenUsed/>
    <w:rsid w:val="001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4B7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414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414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414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14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144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44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001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01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01F3"/>
    <w:rPr>
      <w:vertAlign w:val="superscript"/>
    </w:rPr>
  </w:style>
  <w:style w:type="paragraph" w:styleId="Bezproreda">
    <w:name w:val="No Spacing"/>
    <w:uiPriority w:val="1"/>
    <w:qFormat/>
    <w:rsid w:val="00013CD3"/>
    <w:pPr>
      <w:spacing w:after="0" w:line="240" w:lineRule="auto"/>
    </w:pPr>
  </w:style>
  <w:style w:type="paragraph" w:styleId="Revizija">
    <w:name w:val="Revision"/>
    <w:hidden/>
    <w:uiPriority w:val="99"/>
    <w:semiHidden/>
    <w:rsid w:val="006B0CF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935"/>
  </w:style>
  <w:style w:type="paragraph" w:styleId="Podnoje">
    <w:name w:val="footer"/>
    <w:basedOn w:val="Normal"/>
    <w:link w:val="PodnojeChar"/>
    <w:uiPriority w:val="99"/>
    <w:unhideWhenUsed/>
    <w:rsid w:val="001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282F-6A12-4648-8799-5D0C124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Malečić</dc:creator>
  <cp:lastModifiedBy>Lana Bačura</cp:lastModifiedBy>
  <cp:revision>4</cp:revision>
  <cp:lastPrinted>2018-02-13T10:39:00Z</cp:lastPrinted>
  <dcterms:created xsi:type="dcterms:W3CDTF">2018-02-13T10:45:00Z</dcterms:created>
  <dcterms:modified xsi:type="dcterms:W3CDTF">2018-02-13T11:44:00Z</dcterms:modified>
</cp:coreProperties>
</file>